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b/>
          <w:sz w:val="32"/>
          <w:szCs w:val="32"/>
        </w:rPr>
      </w:pPr>
      <w:r>
        <w:drawing>
          <wp:anchor distT="0" distB="0" distL="114300" distR="114300" simplePos="0" relativeHeight="251657216" behindDoc="0" locked="0" layoutInCell="1" allowOverlap="1">
            <wp:simplePos x="0" y="0"/>
            <wp:positionH relativeFrom="column">
              <wp:posOffset>28575</wp:posOffset>
            </wp:positionH>
            <wp:positionV relativeFrom="paragraph">
              <wp:posOffset>-228600</wp:posOffset>
            </wp:positionV>
            <wp:extent cx="2057400" cy="371475"/>
            <wp:effectExtent l="19050" t="0" r="0" b="0"/>
            <wp:wrapNone/>
            <wp:docPr id="6" name="图片 2" descr="S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descr="SH"/>
                    <pic:cNvPicPr>
                      <a:picLocks noChangeAspect="1" noChangeArrowheads="1"/>
                    </pic:cNvPicPr>
                  </pic:nvPicPr>
                  <pic:blipFill>
                    <a:blip r:embed="rId5" cstate="print"/>
                    <a:srcRect/>
                    <a:stretch>
                      <a:fillRect/>
                    </a:stretch>
                  </pic:blipFill>
                  <pic:spPr>
                    <a:xfrm>
                      <a:off x="0" y="0"/>
                      <a:ext cx="2057400" cy="371475"/>
                    </a:xfrm>
                    <a:prstGeom prst="rect">
                      <a:avLst/>
                    </a:prstGeom>
                    <a:noFill/>
                    <a:ln w="9525">
                      <a:noFill/>
                      <a:miter lim="800000"/>
                      <a:headEnd/>
                      <a:tailEnd/>
                    </a:ln>
                  </pic:spPr>
                </pic:pic>
              </a:graphicData>
            </a:graphic>
          </wp:anchor>
        </w:drawing>
      </w:r>
    </w:p>
    <w:p>
      <w:pPr>
        <w:jc w:val="center"/>
        <w:rPr>
          <w:rFonts w:ascii="宋体"/>
          <w:b/>
          <w:sz w:val="32"/>
          <w:szCs w:val="32"/>
        </w:rPr>
      </w:pPr>
      <w:r>
        <w:rPr>
          <w:rFonts w:hint="eastAsia" w:ascii="宋体" w:hAnsi="宋体"/>
          <w:b/>
          <w:sz w:val="32"/>
          <w:szCs w:val="32"/>
        </w:rPr>
        <w:t>重庆农村商业银行股份有限公司人民币理财产品说明书</w:t>
      </w:r>
    </w:p>
    <w:p>
      <w:pPr>
        <w:spacing w:line="360" w:lineRule="auto"/>
        <w:ind w:firstLine="562" w:firstLineChars="200"/>
        <w:jc w:val="center"/>
        <w:rPr>
          <w:rFonts w:ascii="宋体"/>
          <w:b/>
          <w:bCs/>
          <w:sz w:val="28"/>
          <w:szCs w:val="28"/>
        </w:rPr>
      </w:pPr>
      <w:r>
        <w:rPr>
          <w:rFonts w:hint="eastAsia" w:ascii="宋体" w:hAnsi="宋体"/>
          <w:b/>
          <w:bCs/>
          <w:sz w:val="28"/>
          <w:szCs w:val="28"/>
        </w:rPr>
        <w:t>（非保本浮动收益型）</w:t>
      </w:r>
    </w:p>
    <w:p>
      <w:pPr>
        <w:jc w:val="center"/>
        <w:rPr>
          <w:rFonts w:ascii="宋体" w:eastAsia="Times New Roman"/>
          <w:b/>
        </w:rPr>
      </w:pPr>
      <w:r>
        <w:rPr>
          <w:rFonts w:ascii="宋体"/>
          <w:b/>
        </w:rPr>
        <mc:AlternateContent>
          <mc:Choice Requires="wpc">
            <w:drawing>
              <wp:inline distT="0" distB="0" distL="114300" distR="114300">
                <wp:extent cx="5562600" cy="2513965"/>
                <wp:effectExtent l="0" t="0" r="9525" b="0"/>
                <wp:docPr id="2" name="画布 2"/>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 name="Text Box 4"/>
                        <wps:cNvSpPr txBox="1"/>
                        <wps:spPr>
                          <a:xfrm>
                            <a:off x="200000" y="99103"/>
                            <a:ext cx="5362600" cy="2358361"/>
                          </a:xfrm>
                          <a:prstGeom prst="rect">
                            <a:avLst/>
                          </a:prstGeom>
                          <a:noFill/>
                          <a:ln w="9525" cap="flat" cmpd="sng">
                            <a:solidFill>
                              <a:srgbClr val="000000"/>
                            </a:solidFill>
                            <a:prstDash val="solid"/>
                            <a:miter/>
                            <a:headEnd type="none" w="med" len="med"/>
                            <a:tailEnd type="none" w="med" len="med"/>
                          </a:ln>
                        </wps:spPr>
                        <wps:txbx>
                          <w:txbxContent>
                            <w:p>
                              <w:pPr>
                                <w:numPr>
                                  <w:ilvl w:val="0"/>
                                  <w:numId w:val="1"/>
                                </w:numPr>
                                <w:rPr>
                                  <w:rFonts w:ascii="宋体"/>
                                  <w:szCs w:val="21"/>
                                </w:rPr>
                              </w:pPr>
                              <w:r>
                                <w:rPr>
                                  <w:rFonts w:hint="eastAsia" w:ascii="宋体" w:hAnsi="宋体" w:cs="Arial"/>
                                  <w:bCs/>
                                  <w:sz w:val="22"/>
                                </w:rPr>
                                <w:t>本产品说明书与风险揭示书、理财产品协议书、客户权益须知共同组成投资者与重庆农村商业银行之间理财合同的不可分割之组成部分</w:t>
                              </w:r>
                              <w:r>
                                <w:rPr>
                                  <w:rFonts w:hint="eastAsia" w:ascii="宋体" w:hAnsi="宋体"/>
                                  <w:szCs w:val="21"/>
                                </w:rPr>
                                <w:t>；</w:t>
                              </w:r>
                            </w:p>
                            <w:p>
                              <w:pPr>
                                <w:numPr>
                                  <w:ilvl w:val="0"/>
                                  <w:numId w:val="1"/>
                                </w:numPr>
                                <w:rPr>
                                  <w:rFonts w:ascii="宋体"/>
                                  <w:szCs w:val="21"/>
                                </w:rPr>
                              </w:pPr>
                              <w:r>
                                <w:rPr>
                                  <w:rFonts w:hint="eastAsia" w:ascii="宋体" w:hAnsi="宋体"/>
                                  <w:szCs w:val="21"/>
                                </w:rPr>
                                <w:t>银行销售的理财产品与存款存在明显区别，具有一定的投资风险；</w:t>
                              </w:r>
                            </w:p>
                            <w:p>
                              <w:pPr>
                                <w:numPr>
                                  <w:ilvl w:val="0"/>
                                  <w:numId w:val="1"/>
                                </w:numPr>
                                <w:rPr>
                                  <w:rFonts w:ascii="宋体"/>
                                  <w:szCs w:val="21"/>
                                </w:rPr>
                              </w:pPr>
                              <w:r>
                                <w:rPr>
                                  <w:rFonts w:hint="eastAsia" w:ascii="宋体" w:hAnsi="宋体"/>
                                  <w:szCs w:val="21"/>
                                </w:rPr>
                                <w:t>本产品</w:t>
                              </w:r>
                              <w:r>
                                <w:rPr>
                                  <w:rFonts w:hint="eastAsia" w:ascii="宋体" w:hAnsi="宋体" w:cs="仿宋_GB2312"/>
                                  <w:color w:val="000000"/>
                                  <w:kern w:val="0"/>
                                  <w:szCs w:val="21"/>
                                </w:rPr>
                                <w:t>适合具有一定风险承受能力的</w:t>
                              </w:r>
                              <w:r>
                                <w:rPr>
                                  <w:rFonts w:hint="eastAsia" w:ascii="宋体" w:hAnsi="宋体"/>
                                  <w:szCs w:val="21"/>
                                </w:rPr>
                                <w:t>有、无投资经验者购买；</w:t>
                              </w:r>
                            </w:p>
                            <w:p>
                              <w:pPr>
                                <w:numPr>
                                  <w:ilvl w:val="0"/>
                                  <w:numId w:val="1"/>
                                </w:numPr>
                                <w:rPr>
                                  <w:rFonts w:ascii="宋体"/>
                                  <w:szCs w:val="21"/>
                                </w:rPr>
                              </w:pPr>
                              <w:r>
                                <w:rPr>
                                  <w:rFonts w:hint="eastAsia" w:ascii="宋体" w:hAnsi="宋体"/>
                                  <w:szCs w:val="21"/>
                                </w:rPr>
                                <w:t>重庆农村商业银行</w:t>
                              </w:r>
                              <w:r>
                                <w:rPr>
                                  <w:rFonts w:hint="eastAsia" w:ascii="宋体" w:hAnsi="宋体"/>
                                  <w:bCs/>
                                  <w:szCs w:val="21"/>
                                </w:rPr>
                                <w:t>股份有限公司（以下简称“</w:t>
                              </w:r>
                              <w:r>
                                <w:rPr>
                                  <w:rFonts w:hint="eastAsia" w:ascii="宋体" w:hAnsi="宋体"/>
                                  <w:szCs w:val="21"/>
                                </w:rPr>
                                <w:t>重庆农村商业银行”</w:t>
                              </w:r>
                              <w:r>
                                <w:rPr>
                                  <w:rFonts w:hint="eastAsia" w:ascii="宋体" w:hAnsi="宋体"/>
                                  <w:bCs/>
                                  <w:szCs w:val="21"/>
                                </w:rPr>
                                <w:t>）郑重提示：在购买理财产品前，投资者应确保自己完全明白该项投资的性质和所涉及的风险，详细了解和审慎评估该理财产品的资金投资方向、风险类型及参考收益等基本情况，在慎重考虑后自行决定购买与自身风险承受能力和资产管理需求匹配的理财产品；</w:t>
                              </w:r>
                            </w:p>
                            <w:p>
                              <w:pPr>
                                <w:numPr>
                                  <w:ilvl w:val="0"/>
                                  <w:numId w:val="1"/>
                                </w:numPr>
                                <w:rPr>
                                  <w:rFonts w:ascii="宋体"/>
                                  <w:szCs w:val="21"/>
                                </w:rPr>
                              </w:pPr>
                              <w:r>
                                <w:rPr>
                                  <w:rFonts w:hint="eastAsia" w:ascii="宋体" w:hAnsi="宋体" w:cs="宋体"/>
                                  <w:bCs/>
                                  <w:szCs w:val="21"/>
                                </w:rPr>
                                <w:t>在购买理财产品后，投资者应随时关注该理财产品的信息披露情况，及时获取相关信息。投资者</w:t>
                              </w:r>
                              <w:r>
                                <w:rPr>
                                  <w:rFonts w:hint="eastAsia" w:ascii="宋体" w:hAnsi="宋体" w:cs="宋体"/>
                                </w:rPr>
                                <w:t>可依据本产品理财系统登记编码在“中国理财网（</w:t>
                              </w:r>
                              <w:r>
                                <w:rPr>
                                  <w:rFonts w:ascii="宋体" w:hAnsi="宋体" w:cs="宋体"/>
                                </w:rPr>
                                <w:t>www.chinawealth.com.cn）”上查询产品信息</w:t>
                              </w:r>
                              <w:r>
                                <w:rPr>
                                  <w:rFonts w:hint="eastAsia" w:ascii="宋体" w:hAnsi="宋体"/>
                                  <w:bCs/>
                                  <w:szCs w:val="21"/>
                                </w:rPr>
                                <w:t>。</w:t>
                              </w:r>
                            </w:p>
                          </w:txbxContent>
                        </wps:txbx>
                        <wps:bodyPr upright="1"/>
                      </wps:wsp>
                    </wpc:wpc>
                  </a:graphicData>
                </a:graphic>
              </wp:inline>
            </w:drawing>
          </mc:Choice>
          <mc:Fallback>
            <w:pict>
              <v:group id="_x0000_s1026" o:spid="_x0000_s1026" o:spt="203" style="height:197.95pt;width:438pt;" coordsize="5562600,2513965" editas="canvas" o:gfxdata="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">
                <o:lock v:ext="edit" aspectratio="f"/>
                <v:shape id="_x0000_s1026" o:spid="_x0000_s1026" style="position:absolute;left:0;top:0;height:2513965;width:5562600;" filled="f" stroked="f" coordsize="21600,21600" o:gfxdata="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DejzY81gAAAAUBAAAPAAAAAAAAAAEAIAAAACIAAABkcnMvZG93bnJldi54bWxQSwECFAAU&#10;AAAACACHTuJAdt2CcSwCAADEBAAADgAAAAAAAAABACAAAAAlAQAAZHJzL2Uyb0RvYy54bWxQSwUG&#10;AAAAAAYABgBZAQAAwwUAAAAA&#10;">
                  <v:fill on="f" focussize="0,0"/>
                  <v:stroke on="f"/>
                  <v:imagedata o:title=""/>
                  <o:lock v:ext="edit" aspectratio="t"/>
                </v:shape>
                <v:shape id="Text Box 4" o:spid="_x0000_s1026" o:spt="202" type="#_x0000_t202" style="position:absolute;left:200000;top:99103;height:2358361;width:5362600;" filled="f" stroked="t" coordsize="21600,21600" o:gfxdata="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9zLbjdQAAAAFAQAADwAAAAAAAAABACAAAAAiAAAAZHJzL2Rvd25yZXYueG1s&#10;UEsBAhQAFAAAAAgAh07iQCYmWff8AQAAFgQAAA4AAAAAAAAAAQAgAAAAIwEAAGRycy9lMm9Eb2Mu&#10;eG1sUEsFBgAAAAAGAAYAWQEAAJEFAAAAAA==&#10;">
                  <v:fill on="f" focussize="0,0"/>
                  <v:stroke color="#000000" joinstyle="miter"/>
                  <v:imagedata o:title=""/>
                  <o:lock v:ext="edit" aspectratio="f"/>
                  <v:textbox>
                    <w:txbxContent>
                      <w:p>
                        <w:pPr>
                          <w:numPr>
                            <w:ilvl w:val="0"/>
                            <w:numId w:val="1"/>
                          </w:numPr>
                          <w:rPr>
                            <w:rFonts w:ascii="宋体"/>
                            <w:szCs w:val="21"/>
                          </w:rPr>
                        </w:pPr>
                        <w:r>
                          <w:rPr>
                            <w:rFonts w:hint="eastAsia" w:ascii="宋体" w:hAnsi="宋体" w:cs="Arial"/>
                            <w:bCs/>
                            <w:sz w:val="22"/>
                          </w:rPr>
                          <w:t>本产品说明书与风险揭示书、理财产品协议书、客户权益须知共同组成投资者与重庆农村商业银行之间理财合同的不可分割之组成部分</w:t>
                        </w:r>
                        <w:r>
                          <w:rPr>
                            <w:rFonts w:hint="eastAsia" w:ascii="宋体" w:hAnsi="宋体"/>
                            <w:szCs w:val="21"/>
                          </w:rPr>
                          <w:t>；</w:t>
                        </w:r>
                      </w:p>
                      <w:p>
                        <w:pPr>
                          <w:numPr>
                            <w:ilvl w:val="0"/>
                            <w:numId w:val="1"/>
                          </w:numPr>
                          <w:rPr>
                            <w:rFonts w:ascii="宋体"/>
                            <w:szCs w:val="21"/>
                          </w:rPr>
                        </w:pPr>
                        <w:r>
                          <w:rPr>
                            <w:rFonts w:hint="eastAsia" w:ascii="宋体" w:hAnsi="宋体"/>
                            <w:szCs w:val="21"/>
                          </w:rPr>
                          <w:t>银行销售的理财产品与存款存在明显区别，具有一定的投资风险；</w:t>
                        </w:r>
                      </w:p>
                      <w:p>
                        <w:pPr>
                          <w:numPr>
                            <w:ilvl w:val="0"/>
                            <w:numId w:val="1"/>
                          </w:numPr>
                          <w:rPr>
                            <w:rFonts w:ascii="宋体"/>
                            <w:szCs w:val="21"/>
                          </w:rPr>
                        </w:pPr>
                        <w:r>
                          <w:rPr>
                            <w:rFonts w:hint="eastAsia" w:ascii="宋体" w:hAnsi="宋体"/>
                            <w:szCs w:val="21"/>
                          </w:rPr>
                          <w:t>本产品</w:t>
                        </w:r>
                        <w:r>
                          <w:rPr>
                            <w:rFonts w:hint="eastAsia" w:ascii="宋体" w:hAnsi="宋体" w:cs="仿宋_GB2312"/>
                            <w:color w:val="000000"/>
                            <w:kern w:val="0"/>
                            <w:szCs w:val="21"/>
                          </w:rPr>
                          <w:t>适合具有一定风险承受能力的</w:t>
                        </w:r>
                        <w:r>
                          <w:rPr>
                            <w:rFonts w:hint="eastAsia" w:ascii="宋体" w:hAnsi="宋体"/>
                            <w:szCs w:val="21"/>
                          </w:rPr>
                          <w:t>有、无投资经验者购买；</w:t>
                        </w:r>
                      </w:p>
                      <w:p>
                        <w:pPr>
                          <w:numPr>
                            <w:ilvl w:val="0"/>
                            <w:numId w:val="1"/>
                          </w:numPr>
                          <w:rPr>
                            <w:rFonts w:ascii="宋体"/>
                            <w:szCs w:val="21"/>
                          </w:rPr>
                        </w:pPr>
                        <w:r>
                          <w:rPr>
                            <w:rFonts w:hint="eastAsia" w:ascii="宋体" w:hAnsi="宋体"/>
                            <w:szCs w:val="21"/>
                          </w:rPr>
                          <w:t>重庆农村商业银行</w:t>
                        </w:r>
                        <w:r>
                          <w:rPr>
                            <w:rFonts w:hint="eastAsia" w:ascii="宋体" w:hAnsi="宋体"/>
                            <w:bCs/>
                            <w:szCs w:val="21"/>
                          </w:rPr>
                          <w:t>股份有限公司（以下简称“</w:t>
                        </w:r>
                        <w:r>
                          <w:rPr>
                            <w:rFonts w:hint="eastAsia" w:ascii="宋体" w:hAnsi="宋体"/>
                            <w:szCs w:val="21"/>
                          </w:rPr>
                          <w:t>重庆农村商业银行”</w:t>
                        </w:r>
                        <w:r>
                          <w:rPr>
                            <w:rFonts w:hint="eastAsia" w:ascii="宋体" w:hAnsi="宋体"/>
                            <w:bCs/>
                            <w:szCs w:val="21"/>
                          </w:rPr>
                          <w:t>）郑重提示：在购买理财产品前，投资者应确保自己完全明白该项投资的性质和所涉及的风险，详细了解和审慎评估该理财产品的资金投资方向、风险类型及参考收益等基本情况，在慎重考虑后自行决定购买与自身风险承受能力和资产管理需求匹配的理财产品；</w:t>
                        </w:r>
                      </w:p>
                      <w:p>
                        <w:pPr>
                          <w:numPr>
                            <w:ilvl w:val="0"/>
                            <w:numId w:val="1"/>
                          </w:numPr>
                          <w:rPr>
                            <w:rFonts w:ascii="宋体"/>
                            <w:szCs w:val="21"/>
                          </w:rPr>
                        </w:pPr>
                        <w:r>
                          <w:rPr>
                            <w:rFonts w:hint="eastAsia" w:ascii="宋体" w:hAnsi="宋体" w:cs="宋体"/>
                            <w:bCs/>
                            <w:szCs w:val="21"/>
                          </w:rPr>
                          <w:t>在购买理财产品后，投资者应随时关注该理财产品的信息披露情况，及时获取相关信息。投资者</w:t>
                        </w:r>
                        <w:r>
                          <w:rPr>
                            <w:rFonts w:hint="eastAsia" w:ascii="宋体" w:hAnsi="宋体" w:cs="宋体"/>
                          </w:rPr>
                          <w:t>可依据本产品理财系统登记编码在“中国理财网（</w:t>
                        </w:r>
                        <w:r>
                          <w:rPr>
                            <w:rFonts w:ascii="宋体" w:hAnsi="宋体" w:cs="宋体"/>
                          </w:rPr>
                          <w:t>www.chinawealth.com.cn）”上查询产品信息</w:t>
                        </w:r>
                        <w:r>
                          <w:rPr>
                            <w:rFonts w:hint="eastAsia" w:ascii="宋体" w:hAnsi="宋体"/>
                            <w:bCs/>
                            <w:szCs w:val="21"/>
                          </w:rPr>
                          <w:t>。</w:t>
                        </w:r>
                      </w:p>
                    </w:txbxContent>
                  </v:textbox>
                </v:shape>
                <w10:wrap type="none"/>
                <w10:anchorlock/>
              </v:group>
            </w:pict>
          </mc:Fallback>
        </mc:AlternateContent>
      </w:r>
    </w:p>
    <w:p>
      <w:pPr>
        <w:spacing w:line="360" w:lineRule="auto"/>
        <w:ind w:firstLine="482" w:firstLineChars="200"/>
        <w:rPr>
          <w:rFonts w:ascii="宋体"/>
          <w:b/>
          <w:bCs/>
          <w:sz w:val="24"/>
        </w:rPr>
      </w:pPr>
    </w:p>
    <w:p>
      <w:pPr>
        <w:spacing w:line="360" w:lineRule="auto"/>
        <w:ind w:firstLine="482" w:firstLineChars="200"/>
        <w:rPr>
          <w:rFonts w:ascii="宋体"/>
          <w:b/>
          <w:bCs/>
          <w:sz w:val="24"/>
        </w:rPr>
      </w:pPr>
      <w:r>
        <w:rPr>
          <w:rFonts w:hint="eastAsia" w:ascii="宋体" w:hAnsi="宋体"/>
          <w:b/>
          <w:bCs/>
          <w:sz w:val="24"/>
        </w:rPr>
        <w:t>一、产品概述</w:t>
      </w:r>
    </w:p>
    <w:tbl>
      <w:tblPr>
        <w:tblStyle w:val="5"/>
        <w:tblW w:w="95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8"/>
        <w:gridCol w:w="75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8" w:type="dxa"/>
            <w:vAlign w:val="center"/>
          </w:tcPr>
          <w:p>
            <w:pPr>
              <w:jc w:val="center"/>
              <w:rPr>
                <w:rFonts w:ascii="宋体"/>
                <w:bCs/>
                <w:szCs w:val="21"/>
              </w:rPr>
            </w:pPr>
            <w:r>
              <w:rPr>
                <w:rFonts w:hint="eastAsia" w:ascii="宋体" w:hAnsi="宋体"/>
                <w:bCs/>
                <w:szCs w:val="21"/>
              </w:rPr>
              <w:t>产品名称</w:t>
            </w:r>
          </w:p>
        </w:tc>
        <w:tc>
          <w:tcPr>
            <w:tcW w:w="7560" w:type="dxa"/>
          </w:tcPr>
          <w:p>
            <w:pPr>
              <w:rPr>
                <w:rFonts w:ascii="宋体"/>
                <w:bCs/>
                <w:szCs w:val="21"/>
              </w:rPr>
            </w:pPr>
            <w:r>
              <w:rPr>
                <w:rFonts w:hint="eastAsia" w:ascii="宋体" w:hAnsi="宋体"/>
                <w:szCs w:val="21"/>
              </w:rPr>
              <w:t>江渝财富</w:t>
            </w:r>
            <w:r>
              <w:rPr>
                <w:rFonts w:hint="eastAsia" w:ascii="宋体" w:hAnsi="宋体"/>
                <w:bCs/>
                <w:szCs w:val="21"/>
              </w:rPr>
              <w:t>“天添金”</w:t>
            </w:r>
            <w:r>
              <w:rPr>
                <w:rFonts w:hint="eastAsia" w:ascii="宋体" w:hAnsi="宋体"/>
                <w:szCs w:val="21"/>
              </w:rPr>
              <w:t>2020年第</w:t>
            </w:r>
            <w:r>
              <w:rPr>
                <w:rFonts w:hint="eastAsia" w:ascii="宋体" w:hAnsi="宋体"/>
                <w:szCs w:val="21"/>
                <w:lang w:val="en-US" w:eastAsia="zh-CN"/>
              </w:rPr>
              <w:t>82</w:t>
            </w:r>
            <w:r>
              <w:rPr>
                <w:rFonts w:hint="eastAsia" w:ascii="宋体" w:hAnsi="宋体"/>
                <w:szCs w:val="21"/>
              </w:rPr>
              <w:t>期公募封闭式</w:t>
            </w:r>
            <w:r>
              <w:rPr>
                <w:rFonts w:hint="eastAsia" w:ascii="宋体" w:hAnsi="宋体"/>
                <w:bCs/>
                <w:szCs w:val="21"/>
              </w:rPr>
              <w:t>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8" w:type="dxa"/>
            <w:vAlign w:val="center"/>
          </w:tcPr>
          <w:p>
            <w:pPr>
              <w:jc w:val="center"/>
              <w:rPr>
                <w:rFonts w:ascii="宋体"/>
                <w:bCs/>
                <w:szCs w:val="21"/>
              </w:rPr>
            </w:pPr>
            <w:r>
              <w:rPr>
                <w:rFonts w:hint="eastAsia" w:ascii="宋体" w:hAnsi="宋体"/>
                <w:bCs/>
                <w:szCs w:val="21"/>
              </w:rPr>
              <w:t>产品编号</w:t>
            </w:r>
          </w:p>
        </w:tc>
        <w:tc>
          <w:tcPr>
            <w:tcW w:w="7560" w:type="dxa"/>
          </w:tcPr>
          <w:p>
            <w:pPr>
              <w:rPr>
                <w:rFonts w:ascii="宋体"/>
                <w:szCs w:val="21"/>
              </w:rPr>
            </w:pPr>
            <w:r>
              <w:rPr>
                <w:rFonts w:ascii="宋体" w:hAnsi="宋体"/>
                <w:szCs w:val="21"/>
              </w:rPr>
              <w:t>120</w:t>
            </w:r>
            <w:r>
              <w:rPr>
                <w:rFonts w:hint="eastAsia" w:ascii="宋体" w:hAnsi="宋体"/>
                <w:szCs w:val="21"/>
              </w:rPr>
              <w:t>200</w:t>
            </w:r>
            <w:r>
              <w:rPr>
                <w:rFonts w:hint="eastAsia" w:ascii="宋体" w:hAnsi="宋体"/>
                <w:szCs w:val="21"/>
                <w:lang w:val="en-US" w:eastAsia="zh-CN"/>
              </w:rPr>
              <w:t>82</w:t>
            </w:r>
            <w:r>
              <w:rPr>
                <w:rFonts w:hint="eastAsia" w:ascii="宋体" w:hAnsi="宋体"/>
                <w:szCs w:val="21"/>
              </w:rPr>
              <w:t>GFY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998" w:type="dxa"/>
            <w:vAlign w:val="center"/>
          </w:tcPr>
          <w:p>
            <w:pPr>
              <w:jc w:val="center"/>
              <w:rPr>
                <w:rFonts w:ascii="宋体"/>
                <w:bCs/>
                <w:szCs w:val="21"/>
              </w:rPr>
            </w:pPr>
            <w:r>
              <w:rPr>
                <w:rFonts w:hint="eastAsia" w:ascii="宋体" w:hAnsi="宋体"/>
                <w:bCs/>
                <w:szCs w:val="21"/>
              </w:rPr>
              <w:t>产品期限</w:t>
            </w:r>
          </w:p>
        </w:tc>
        <w:tc>
          <w:tcPr>
            <w:tcW w:w="7560" w:type="dxa"/>
          </w:tcPr>
          <w:p>
            <w:pPr>
              <w:rPr>
                <w:rFonts w:ascii="宋体"/>
                <w:bCs/>
                <w:szCs w:val="21"/>
              </w:rPr>
            </w:pPr>
            <w:r>
              <w:rPr>
                <w:rFonts w:hint="eastAsia" w:ascii="宋体"/>
                <w:bCs/>
                <w:szCs w:val="21"/>
                <w:lang w:val="en-US" w:eastAsia="zh-CN"/>
              </w:rPr>
              <w:t>196</w:t>
            </w:r>
            <w:r>
              <w:rPr>
                <w:rFonts w:hint="eastAsia" w:ascii="宋体"/>
                <w:bCs/>
                <w:szCs w:val="21"/>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trPr>
        <w:tc>
          <w:tcPr>
            <w:tcW w:w="1998" w:type="dxa"/>
            <w:vAlign w:val="center"/>
          </w:tcPr>
          <w:p>
            <w:pPr>
              <w:jc w:val="center"/>
              <w:rPr>
                <w:rFonts w:ascii="宋体" w:hAnsi="宋体"/>
                <w:bCs/>
                <w:szCs w:val="21"/>
              </w:rPr>
            </w:pPr>
            <w:r>
              <w:rPr>
                <w:rFonts w:hint="eastAsia" w:ascii="宋体" w:hAnsi="宋体"/>
                <w:bCs/>
                <w:szCs w:val="21"/>
              </w:rPr>
              <w:t>理财系统登记编码</w:t>
            </w:r>
          </w:p>
        </w:tc>
        <w:tc>
          <w:tcPr>
            <w:tcW w:w="7560" w:type="dxa"/>
          </w:tcPr>
          <w:p>
            <w:pPr>
              <w:rPr>
                <w:rFonts w:hint="default" w:ascii="宋体" w:eastAsia="宋体"/>
                <w:szCs w:val="21"/>
                <w:lang w:val="en-US" w:eastAsia="zh-CN"/>
              </w:rPr>
            </w:pPr>
            <w:r>
              <w:rPr>
                <w:rFonts w:hint="eastAsia" w:ascii="宋体"/>
                <w:szCs w:val="21"/>
                <w:lang w:val="en-US" w:eastAsia="zh-CN"/>
              </w:rPr>
              <w:t>C1126720000171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8" w:type="dxa"/>
            <w:vAlign w:val="center"/>
          </w:tcPr>
          <w:p>
            <w:pPr>
              <w:jc w:val="center"/>
              <w:rPr>
                <w:rFonts w:ascii="宋体"/>
                <w:bCs/>
                <w:szCs w:val="21"/>
              </w:rPr>
            </w:pPr>
            <w:r>
              <w:rPr>
                <w:rFonts w:hint="eastAsia" w:ascii="宋体" w:hAnsi="宋体"/>
                <w:bCs/>
                <w:szCs w:val="21"/>
              </w:rPr>
              <w:t>投资及收益币种</w:t>
            </w:r>
          </w:p>
        </w:tc>
        <w:tc>
          <w:tcPr>
            <w:tcW w:w="7560" w:type="dxa"/>
          </w:tcPr>
          <w:p>
            <w:pPr>
              <w:rPr>
                <w:rFonts w:ascii="宋体"/>
                <w:bCs/>
                <w:szCs w:val="21"/>
              </w:rPr>
            </w:pPr>
            <w:r>
              <w:rPr>
                <w:rFonts w:hint="eastAsia" w:ascii="宋体" w:hAnsi="宋体"/>
                <w:bCs/>
                <w:szCs w:val="21"/>
              </w:rPr>
              <w:t>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8" w:type="dxa"/>
            <w:vAlign w:val="center"/>
          </w:tcPr>
          <w:p>
            <w:pPr>
              <w:jc w:val="center"/>
              <w:rPr>
                <w:rFonts w:ascii="宋体"/>
                <w:bCs/>
                <w:szCs w:val="21"/>
              </w:rPr>
            </w:pPr>
            <w:r>
              <w:rPr>
                <w:rFonts w:hint="eastAsia" w:ascii="宋体" w:hAnsi="宋体"/>
                <w:bCs/>
                <w:szCs w:val="21"/>
              </w:rPr>
              <w:t>产品类型</w:t>
            </w:r>
          </w:p>
        </w:tc>
        <w:tc>
          <w:tcPr>
            <w:tcW w:w="7560" w:type="dxa"/>
          </w:tcPr>
          <w:p>
            <w:pPr>
              <w:rPr>
                <w:rFonts w:ascii="宋体"/>
                <w:b/>
                <w:bCs/>
                <w:szCs w:val="21"/>
              </w:rPr>
            </w:pPr>
            <w:r>
              <w:rPr>
                <w:rFonts w:hint="eastAsia" w:ascii="宋体" w:hAnsi="宋体"/>
                <w:b/>
                <w:bCs/>
                <w:szCs w:val="21"/>
              </w:rPr>
              <w:t>非保本浮动收益型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8" w:type="dxa"/>
            <w:vAlign w:val="center"/>
          </w:tcPr>
          <w:p>
            <w:pPr>
              <w:jc w:val="center"/>
              <w:rPr>
                <w:rFonts w:ascii="宋体" w:hAnsi="宋体"/>
                <w:bCs/>
                <w:szCs w:val="21"/>
              </w:rPr>
            </w:pPr>
            <w:r>
              <w:rPr>
                <w:rFonts w:hint="eastAsia" w:ascii="宋体" w:hAnsi="宋体" w:cs="宋体"/>
              </w:rPr>
              <w:t>产品类别</w:t>
            </w:r>
          </w:p>
        </w:tc>
        <w:tc>
          <w:tcPr>
            <w:tcW w:w="7560" w:type="dxa"/>
          </w:tcPr>
          <w:p>
            <w:pPr>
              <w:rPr>
                <w:rFonts w:ascii="宋体" w:hAnsi="宋体"/>
                <w:b/>
                <w:bCs/>
                <w:szCs w:val="21"/>
              </w:rPr>
            </w:pPr>
            <w:r>
              <w:rPr>
                <w:rFonts w:hint="eastAsia" w:ascii="宋体" w:hAnsi="宋体" w:cs="宋体"/>
                <w:b/>
              </w:rPr>
              <w:t>固定收益类公募产品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8" w:type="dxa"/>
            <w:vAlign w:val="center"/>
          </w:tcPr>
          <w:p>
            <w:pPr>
              <w:jc w:val="center"/>
              <w:rPr>
                <w:rFonts w:ascii="宋体"/>
                <w:bCs/>
                <w:szCs w:val="21"/>
              </w:rPr>
            </w:pPr>
            <w:r>
              <w:rPr>
                <w:rFonts w:hint="eastAsia" w:ascii="宋体" w:hAnsi="宋体"/>
                <w:bCs/>
                <w:szCs w:val="21"/>
              </w:rPr>
              <w:t>内部风险评级</w:t>
            </w:r>
          </w:p>
        </w:tc>
        <w:tc>
          <w:tcPr>
            <w:tcW w:w="7560" w:type="dxa"/>
          </w:tcPr>
          <w:p>
            <w:pPr>
              <w:rPr>
                <w:rFonts w:ascii="宋体"/>
                <w:b/>
                <w:bCs/>
                <w:szCs w:val="21"/>
              </w:rPr>
            </w:pPr>
            <w:r>
              <w:rPr>
                <w:rFonts w:hint="eastAsia" w:ascii="宋体"/>
                <w:b/>
                <w:bCs/>
                <w:szCs w:val="21"/>
              </w:rPr>
              <w:t>二级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8" w:type="dxa"/>
            <w:vAlign w:val="center"/>
          </w:tcPr>
          <w:p>
            <w:pPr>
              <w:jc w:val="center"/>
              <w:rPr>
                <w:rFonts w:ascii="宋体"/>
                <w:bCs/>
                <w:szCs w:val="21"/>
              </w:rPr>
            </w:pPr>
            <w:r>
              <w:rPr>
                <w:rFonts w:hint="eastAsia" w:ascii="宋体" w:hAnsi="宋体"/>
                <w:bCs/>
                <w:szCs w:val="21"/>
              </w:rPr>
              <w:t>销售对象</w:t>
            </w:r>
          </w:p>
        </w:tc>
        <w:tc>
          <w:tcPr>
            <w:tcW w:w="7560" w:type="dxa"/>
          </w:tcPr>
          <w:p>
            <w:pPr>
              <w:jc w:val="left"/>
              <w:rPr>
                <w:rFonts w:ascii="宋体"/>
                <w:b/>
                <w:bCs/>
                <w:szCs w:val="21"/>
              </w:rPr>
            </w:pPr>
            <w:r>
              <w:rPr>
                <w:rFonts w:hint="eastAsia" w:ascii="宋体" w:hAnsi="宋体" w:cs="宋体"/>
              </w:rPr>
              <w:t>不特定社会公众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8" w:type="dxa"/>
            <w:vAlign w:val="center"/>
          </w:tcPr>
          <w:p>
            <w:pPr>
              <w:jc w:val="center"/>
              <w:rPr>
                <w:rFonts w:ascii="宋体" w:hAnsi="宋体"/>
                <w:bCs/>
                <w:szCs w:val="21"/>
              </w:rPr>
            </w:pPr>
            <w:r>
              <w:rPr>
                <w:rFonts w:hint="eastAsia" w:ascii="宋体" w:hAnsi="宋体" w:cs="宋体"/>
                <w:bCs/>
                <w:szCs w:val="21"/>
              </w:rPr>
              <w:t>销售范围</w:t>
            </w:r>
          </w:p>
        </w:tc>
        <w:tc>
          <w:tcPr>
            <w:tcW w:w="7560" w:type="dxa"/>
          </w:tcPr>
          <w:p>
            <w:pPr>
              <w:jc w:val="left"/>
              <w:rPr>
                <w:rFonts w:ascii="宋体" w:hAnsi="宋体" w:cs="宋体"/>
              </w:rPr>
            </w:pPr>
            <w:r>
              <w:rPr>
                <w:rFonts w:hint="eastAsia" w:ascii="宋体" w:hAnsi="宋体" w:cs="宋体"/>
              </w:rPr>
              <w:t>全国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8" w:type="dxa"/>
            <w:vAlign w:val="center"/>
          </w:tcPr>
          <w:p>
            <w:pPr>
              <w:jc w:val="center"/>
              <w:rPr>
                <w:rFonts w:ascii="宋体" w:hAnsi="宋体"/>
                <w:bCs/>
                <w:szCs w:val="21"/>
              </w:rPr>
            </w:pPr>
            <w:r>
              <w:rPr>
                <w:rFonts w:hint="eastAsia" w:ascii="宋体" w:hAnsi="宋体"/>
                <w:bCs/>
                <w:szCs w:val="21"/>
              </w:rPr>
              <w:t>适合客户类型</w:t>
            </w:r>
          </w:p>
        </w:tc>
        <w:tc>
          <w:tcPr>
            <w:tcW w:w="7560" w:type="dxa"/>
          </w:tcPr>
          <w:p>
            <w:pPr>
              <w:jc w:val="left"/>
              <w:rPr>
                <w:rFonts w:ascii="宋体" w:hAnsi="宋体" w:cs="宋体"/>
              </w:rPr>
            </w:pPr>
            <w:r>
              <w:rPr>
                <w:rFonts w:hint="eastAsia" w:ascii="宋体" w:hAnsi="宋体"/>
                <w:bCs/>
                <w:szCs w:val="21"/>
              </w:rPr>
              <w:t>经重庆农村商业银行风险承受能力评估为稳健型、平衡型、积极型、激进型的有投资经验和无投资经验的客户。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8" w:type="dxa"/>
            <w:vAlign w:val="center"/>
          </w:tcPr>
          <w:p>
            <w:pPr>
              <w:jc w:val="center"/>
              <w:rPr>
                <w:rFonts w:ascii="宋体"/>
                <w:bCs/>
                <w:szCs w:val="21"/>
              </w:rPr>
            </w:pPr>
            <w:r>
              <w:rPr>
                <w:rFonts w:hint="eastAsia" w:ascii="宋体" w:hAnsi="宋体"/>
                <w:bCs/>
                <w:szCs w:val="21"/>
              </w:rPr>
              <w:t>募集规模</w:t>
            </w:r>
          </w:p>
        </w:tc>
        <w:tc>
          <w:tcPr>
            <w:tcW w:w="7560" w:type="dxa"/>
            <w:vAlign w:val="center"/>
          </w:tcPr>
          <w:p>
            <w:pPr>
              <w:jc w:val="left"/>
              <w:rPr>
                <w:rFonts w:ascii="宋体"/>
                <w:bCs/>
                <w:szCs w:val="21"/>
              </w:rPr>
            </w:pPr>
            <w:r>
              <w:rPr>
                <w:rFonts w:hint="eastAsia" w:ascii="宋体" w:hAnsi="宋体"/>
                <w:bCs/>
                <w:szCs w:val="21"/>
              </w:rPr>
              <w:t>产品规模上限为</w:t>
            </w:r>
            <w:r>
              <w:rPr>
                <w:rFonts w:hint="eastAsia" w:ascii="宋体" w:hAnsi="宋体"/>
                <w:bCs/>
                <w:szCs w:val="21"/>
                <w:lang w:val="en-US" w:eastAsia="zh-CN"/>
              </w:rPr>
              <w:t>3000</w:t>
            </w:r>
            <w:r>
              <w:rPr>
                <w:rFonts w:hint="eastAsia" w:ascii="宋体" w:hAnsi="宋体"/>
                <w:bCs/>
                <w:szCs w:val="21"/>
              </w:rPr>
              <w:t>万元，产品成立最小规模为500万元。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8" w:type="dxa"/>
            <w:vAlign w:val="center"/>
          </w:tcPr>
          <w:p>
            <w:pPr>
              <w:jc w:val="center"/>
              <w:rPr>
                <w:rFonts w:ascii="宋体"/>
                <w:bCs/>
                <w:szCs w:val="21"/>
              </w:rPr>
            </w:pPr>
            <w:r>
              <w:rPr>
                <w:rFonts w:hint="eastAsia" w:ascii="宋体" w:hAnsi="宋体"/>
                <w:bCs/>
                <w:szCs w:val="21"/>
              </w:rPr>
              <w:t>产品募集期</w:t>
            </w:r>
          </w:p>
        </w:tc>
        <w:tc>
          <w:tcPr>
            <w:tcW w:w="7560" w:type="dxa"/>
          </w:tcPr>
          <w:p>
            <w:pPr>
              <w:ind w:firstLine="420" w:firstLineChars="200"/>
              <w:rPr>
                <w:rFonts w:ascii="宋体"/>
                <w:bCs/>
                <w:szCs w:val="21"/>
              </w:rPr>
            </w:pPr>
            <w:r>
              <w:rPr>
                <w:rFonts w:hint="eastAsia" w:ascii="宋体" w:hAnsi="宋体"/>
                <w:bCs/>
                <w:szCs w:val="21"/>
              </w:rPr>
              <w:t>2020年10月27日至2020年11月2日17:00（如本产品提前成立，则募集期亦相应提前终止）。产品本金存入指定账户之日至产品成立日期间按活期储蓄利率计息，且活期利息不计入本金。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8" w:type="dxa"/>
            <w:vAlign w:val="center"/>
          </w:tcPr>
          <w:p>
            <w:pPr>
              <w:jc w:val="center"/>
              <w:rPr>
                <w:rFonts w:ascii="宋体"/>
                <w:bCs/>
                <w:szCs w:val="21"/>
              </w:rPr>
            </w:pPr>
            <w:r>
              <w:rPr>
                <w:rFonts w:hint="eastAsia" w:ascii="宋体" w:hAnsi="宋体"/>
                <w:bCs/>
                <w:szCs w:val="21"/>
              </w:rPr>
              <w:t>产品成立日</w:t>
            </w:r>
          </w:p>
        </w:tc>
        <w:tc>
          <w:tcPr>
            <w:tcW w:w="7560" w:type="dxa"/>
          </w:tcPr>
          <w:p>
            <w:pPr>
              <w:ind w:firstLine="420" w:firstLineChars="200"/>
              <w:rPr>
                <w:rFonts w:ascii="宋体"/>
                <w:bCs/>
                <w:szCs w:val="21"/>
              </w:rPr>
            </w:pPr>
            <w:r>
              <w:rPr>
                <w:rFonts w:ascii="宋体" w:hAnsi="宋体"/>
                <w:bCs/>
                <w:szCs w:val="21"/>
              </w:rPr>
              <w:t>20</w:t>
            </w:r>
            <w:r>
              <w:rPr>
                <w:rFonts w:hint="eastAsia" w:ascii="宋体" w:hAnsi="宋体"/>
                <w:bCs/>
                <w:szCs w:val="21"/>
              </w:rPr>
              <w:t>20</w:t>
            </w:r>
            <w:r>
              <w:rPr>
                <w:rFonts w:ascii="宋体" w:hAnsi="宋体"/>
                <w:bCs/>
                <w:szCs w:val="21"/>
              </w:rPr>
              <w:t>年</w:t>
            </w:r>
            <w:r>
              <w:rPr>
                <w:rFonts w:hint="eastAsia" w:ascii="宋体" w:hAnsi="宋体"/>
                <w:bCs/>
                <w:szCs w:val="21"/>
                <w:lang w:val="en-US" w:eastAsia="zh-CN"/>
              </w:rPr>
              <w:t>11</w:t>
            </w:r>
            <w:r>
              <w:rPr>
                <w:rFonts w:ascii="宋体" w:hAnsi="宋体"/>
                <w:bCs/>
                <w:szCs w:val="21"/>
              </w:rPr>
              <w:t>月</w:t>
            </w:r>
            <w:r>
              <w:rPr>
                <w:rFonts w:hint="eastAsia" w:ascii="宋体" w:hAnsi="宋体"/>
                <w:bCs/>
                <w:szCs w:val="21"/>
                <w:lang w:val="en-US" w:eastAsia="zh-CN"/>
              </w:rPr>
              <w:t>3</w:t>
            </w:r>
            <w:r>
              <w:rPr>
                <w:rFonts w:ascii="宋体" w:hAnsi="宋体"/>
                <w:bCs/>
                <w:szCs w:val="21"/>
              </w:rPr>
              <w:t>日</w:t>
            </w:r>
            <w:r>
              <w:rPr>
                <w:rFonts w:hint="eastAsia" w:ascii="宋体" w:hAnsi="宋体"/>
                <w:bCs/>
                <w:szCs w:val="21"/>
              </w:rPr>
              <w:t>。在正常情况下，产品成立日为募集期结束后的第一个工作日，如遇节假日顺延。但在以下两种情形除外：（</w:t>
            </w:r>
            <w:r>
              <w:rPr>
                <w:rFonts w:ascii="宋体" w:hAnsi="宋体"/>
                <w:bCs/>
                <w:szCs w:val="21"/>
              </w:rPr>
              <w:t>1</w:t>
            </w:r>
            <w:r>
              <w:rPr>
                <w:rFonts w:hint="eastAsia" w:ascii="宋体" w:hAnsi="宋体"/>
                <w:bCs/>
                <w:szCs w:val="21"/>
              </w:rPr>
              <w:t>）若在募集期届满之前募集资金已经达到产品募集上限，</w:t>
            </w:r>
            <w:r>
              <w:rPr>
                <w:rFonts w:hint="eastAsia" w:ascii="宋体" w:hAnsi="宋体"/>
                <w:szCs w:val="21"/>
              </w:rPr>
              <w:t>重庆农村商业银行</w:t>
            </w:r>
            <w:r>
              <w:rPr>
                <w:rFonts w:hint="eastAsia" w:ascii="宋体" w:hAnsi="宋体"/>
                <w:bCs/>
                <w:szCs w:val="21"/>
              </w:rPr>
              <w:t>有权提前结束募集并提前成立该理财产品，同时将成立日期调整为实际募集期截止日次日（如遇节假日，成立时间顺延至募集期截止日后第一个工作日）；（</w:t>
            </w:r>
            <w:r>
              <w:rPr>
                <w:rFonts w:ascii="宋体" w:hAnsi="宋体"/>
                <w:bCs/>
                <w:szCs w:val="21"/>
              </w:rPr>
              <w:t>2</w:t>
            </w:r>
            <w:r>
              <w:rPr>
                <w:rFonts w:hint="eastAsia" w:ascii="宋体" w:hAnsi="宋体"/>
                <w:bCs/>
                <w:szCs w:val="21"/>
              </w:rPr>
              <w:t>）若在募集期届满之日未达到产品募集下限，则本产品可将募集期顺延，最长</w:t>
            </w:r>
            <w:r>
              <w:rPr>
                <w:rFonts w:ascii="宋体" w:hAnsi="宋体"/>
                <w:bCs/>
                <w:szCs w:val="21"/>
              </w:rPr>
              <w:t>7</w:t>
            </w:r>
            <w:r>
              <w:rPr>
                <w:rFonts w:hint="eastAsia" w:ascii="宋体" w:hAnsi="宋体"/>
                <w:bCs/>
                <w:szCs w:val="21"/>
              </w:rPr>
              <w:t>个工作日，成立日相应顺延；若募集期顺延后仍未达到产品募集下限，</w:t>
            </w:r>
            <w:r>
              <w:rPr>
                <w:rFonts w:hint="eastAsia" w:ascii="宋体" w:hAnsi="宋体"/>
                <w:szCs w:val="21"/>
              </w:rPr>
              <w:t>重庆农村商业银行</w:t>
            </w:r>
            <w:r>
              <w:rPr>
                <w:rFonts w:hint="eastAsia" w:ascii="宋体" w:hAnsi="宋体"/>
                <w:bCs/>
                <w:szCs w:val="21"/>
              </w:rPr>
              <w:t>有权选择本产品不能成立，理财本金将在募集期结束后</w:t>
            </w:r>
            <w:r>
              <w:rPr>
                <w:rFonts w:ascii="宋体" w:hAnsi="宋体"/>
                <w:bCs/>
                <w:szCs w:val="21"/>
              </w:rPr>
              <w:t>3</w:t>
            </w:r>
            <w:r>
              <w:rPr>
                <w:rFonts w:hint="eastAsia" w:ascii="宋体" w:hAnsi="宋体"/>
                <w:bCs/>
                <w:szCs w:val="21"/>
              </w:rPr>
              <w:t>个工作日内返还投资人。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8" w:type="dxa"/>
            <w:vAlign w:val="center"/>
          </w:tcPr>
          <w:p>
            <w:pPr>
              <w:jc w:val="center"/>
              <w:rPr>
                <w:rFonts w:ascii="宋体"/>
                <w:bCs/>
                <w:szCs w:val="21"/>
              </w:rPr>
            </w:pPr>
            <w:r>
              <w:rPr>
                <w:rFonts w:hint="eastAsia" w:ascii="宋体" w:hAnsi="宋体"/>
                <w:bCs/>
                <w:szCs w:val="21"/>
              </w:rPr>
              <w:t>产品到期日</w:t>
            </w:r>
          </w:p>
        </w:tc>
        <w:tc>
          <w:tcPr>
            <w:tcW w:w="7560" w:type="dxa"/>
          </w:tcPr>
          <w:p>
            <w:pPr>
              <w:ind w:firstLine="268" w:firstLineChars="128"/>
              <w:rPr>
                <w:rFonts w:ascii="宋体"/>
                <w:bCs/>
                <w:szCs w:val="21"/>
              </w:rPr>
            </w:pPr>
            <w:r>
              <w:rPr>
                <w:rFonts w:ascii="宋体" w:hAnsi="宋体"/>
                <w:bCs/>
                <w:szCs w:val="21"/>
              </w:rPr>
              <w:t>20</w:t>
            </w:r>
            <w:r>
              <w:rPr>
                <w:rFonts w:hint="eastAsia" w:ascii="宋体" w:hAnsi="宋体"/>
                <w:bCs/>
                <w:szCs w:val="21"/>
              </w:rPr>
              <w:t>2</w:t>
            </w:r>
            <w:r>
              <w:rPr>
                <w:rFonts w:hint="eastAsia" w:ascii="宋体" w:hAnsi="宋体"/>
                <w:bCs/>
                <w:szCs w:val="21"/>
                <w:lang w:val="en-US" w:eastAsia="zh-CN"/>
              </w:rPr>
              <w:t>1</w:t>
            </w:r>
            <w:r>
              <w:rPr>
                <w:rFonts w:ascii="宋体" w:hAnsi="宋体"/>
                <w:bCs/>
                <w:szCs w:val="21"/>
              </w:rPr>
              <w:t>年</w:t>
            </w:r>
            <w:r>
              <w:rPr>
                <w:rFonts w:hint="eastAsia" w:ascii="宋体" w:hAnsi="宋体"/>
                <w:bCs/>
                <w:szCs w:val="21"/>
                <w:lang w:val="en-US" w:eastAsia="zh-CN"/>
              </w:rPr>
              <w:t>5</w:t>
            </w:r>
            <w:r>
              <w:rPr>
                <w:rFonts w:ascii="宋体" w:hAnsi="宋体"/>
                <w:bCs/>
                <w:szCs w:val="21"/>
              </w:rPr>
              <w:t>月</w:t>
            </w:r>
            <w:r>
              <w:rPr>
                <w:rFonts w:hint="eastAsia" w:ascii="宋体" w:hAnsi="宋体"/>
                <w:bCs/>
                <w:szCs w:val="21"/>
                <w:lang w:val="en-US" w:eastAsia="zh-CN"/>
              </w:rPr>
              <w:t>18</w:t>
            </w:r>
            <w:r>
              <w:rPr>
                <w:rFonts w:ascii="宋体" w:hAnsi="宋体"/>
                <w:bCs/>
                <w:szCs w:val="21"/>
              </w:rPr>
              <w:t>日</w:t>
            </w:r>
            <w:r>
              <w:rPr>
                <w:rFonts w:hint="eastAsia" w:ascii="宋体" w:hAnsi="宋体"/>
                <w:bCs/>
                <w:szCs w:val="21"/>
              </w:rPr>
              <w:t>（若本产品提前成立或终止，以实际到期日为准）。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8" w:type="dxa"/>
            <w:vAlign w:val="center"/>
          </w:tcPr>
          <w:p>
            <w:pPr>
              <w:jc w:val="center"/>
              <w:rPr>
                <w:rFonts w:ascii="宋体"/>
                <w:bCs/>
                <w:szCs w:val="21"/>
              </w:rPr>
            </w:pPr>
            <w:r>
              <w:rPr>
                <w:rFonts w:hint="eastAsia" w:ascii="宋体" w:hAnsi="宋体"/>
                <w:bCs/>
                <w:szCs w:val="21"/>
              </w:rPr>
              <w:t>产品兑付日</w:t>
            </w:r>
          </w:p>
        </w:tc>
        <w:tc>
          <w:tcPr>
            <w:tcW w:w="7560" w:type="dxa"/>
          </w:tcPr>
          <w:p>
            <w:pPr>
              <w:ind w:firstLine="268" w:firstLineChars="128"/>
              <w:rPr>
                <w:rFonts w:ascii="宋体"/>
                <w:bCs/>
                <w:szCs w:val="21"/>
              </w:rPr>
            </w:pPr>
            <w:r>
              <w:rPr>
                <w:rFonts w:hint="eastAsia" w:ascii="宋体" w:hAnsi="宋体"/>
                <w:bCs/>
                <w:szCs w:val="21"/>
              </w:rPr>
              <w:t>产品到期日后两个工作日内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8" w:type="dxa"/>
            <w:vAlign w:val="center"/>
          </w:tcPr>
          <w:p>
            <w:pPr>
              <w:jc w:val="center"/>
              <w:rPr>
                <w:rFonts w:ascii="宋体"/>
                <w:bCs/>
                <w:szCs w:val="21"/>
              </w:rPr>
            </w:pPr>
            <w:r>
              <w:rPr>
                <w:rFonts w:hint="eastAsia" w:ascii="宋体" w:hAnsi="宋体"/>
                <w:bCs/>
                <w:szCs w:val="21"/>
              </w:rPr>
              <w:t>客户参考年化净收益率</w:t>
            </w:r>
          </w:p>
        </w:tc>
        <w:tc>
          <w:tcPr>
            <w:tcW w:w="7560" w:type="dxa"/>
          </w:tcPr>
          <w:p>
            <w:pPr>
              <w:ind w:right="-107" w:rightChars="-51" w:firstLine="105" w:firstLineChars="50"/>
              <w:rPr>
                <w:rFonts w:ascii="宋体"/>
                <w:bCs/>
                <w:szCs w:val="21"/>
              </w:rPr>
            </w:pPr>
            <w:r>
              <w:rPr>
                <w:rFonts w:hint="eastAsia" w:ascii="宋体" w:hAnsi="宋体"/>
                <w:bCs/>
                <w:szCs w:val="21"/>
                <w:lang w:val="en-US" w:eastAsia="zh-CN"/>
              </w:rPr>
              <w:t>4.0</w:t>
            </w:r>
            <w:r>
              <w:rPr>
                <w:rFonts w:ascii="宋体" w:hAnsi="宋体"/>
                <w:bCs/>
                <w:szCs w:val="21"/>
              </w:rPr>
              <w:t>%</w:t>
            </w:r>
            <w:r>
              <w:rPr>
                <w:rFonts w:hint="eastAsia" w:ascii="宋体" w:hAnsi="宋体"/>
                <w:bCs/>
                <w:szCs w:val="21"/>
              </w:rPr>
              <w:t>，重庆农村商业银行将在产品的募集期开始前至少一个工作日公布本理财产品的客户参考年化净收益率及收益率浮动方式（若有）。客户参考年化净收益率，是根据产品所投资资产的收益率测算得出。该收益率为本理财产品拟投资的资产年化收益率，扣除</w:t>
            </w:r>
            <w:bookmarkStart w:id="0" w:name="如果纯借款1"/>
            <w:r>
              <w:rPr>
                <w:rFonts w:ascii="宋体" w:hAnsi="宋体"/>
                <w:bCs/>
                <w:szCs w:val="21"/>
              </w:rPr>
              <w:t>销售服务费</w:t>
            </w:r>
            <w:r>
              <w:rPr>
                <w:rFonts w:hint="eastAsia" w:ascii="宋体" w:hAnsi="宋体"/>
                <w:bCs/>
                <w:szCs w:val="21"/>
              </w:rPr>
              <w:t>率</w:t>
            </w:r>
            <w:r>
              <w:rPr>
                <w:rFonts w:ascii="宋体" w:hAnsi="宋体"/>
                <w:bCs/>
                <w:szCs w:val="21"/>
              </w:rPr>
              <w:t>、</w:t>
            </w:r>
            <w:bookmarkEnd w:id="0"/>
            <w:r>
              <w:rPr>
                <w:rFonts w:hint="eastAsia" w:ascii="宋体" w:hAnsi="宋体"/>
                <w:bCs/>
                <w:szCs w:val="21"/>
              </w:rPr>
              <w:t>托管费率、投资</w:t>
            </w:r>
            <w:r>
              <w:rPr>
                <w:rFonts w:ascii="宋体" w:hAnsi="宋体"/>
                <w:bCs/>
                <w:szCs w:val="21"/>
              </w:rPr>
              <w:t>管理费率</w:t>
            </w:r>
            <w:r>
              <w:rPr>
                <w:rFonts w:hint="eastAsia" w:ascii="宋体" w:hAnsi="宋体"/>
                <w:bCs/>
                <w:szCs w:val="21"/>
              </w:rPr>
              <w:t>后取得的收益率。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8" w:type="dxa"/>
            <w:vAlign w:val="center"/>
          </w:tcPr>
          <w:p>
            <w:pPr>
              <w:jc w:val="center"/>
              <w:rPr>
                <w:rFonts w:ascii="宋体"/>
                <w:bCs/>
                <w:szCs w:val="21"/>
              </w:rPr>
            </w:pPr>
            <w:r>
              <w:rPr>
                <w:rFonts w:hint="eastAsia" w:ascii="宋体" w:hAnsi="宋体"/>
                <w:bCs/>
                <w:szCs w:val="21"/>
              </w:rPr>
              <w:t>理财产品费用</w:t>
            </w:r>
          </w:p>
        </w:tc>
        <w:tc>
          <w:tcPr>
            <w:tcW w:w="7560" w:type="dxa"/>
          </w:tcPr>
          <w:p>
            <w:pPr>
              <w:ind w:right="-107" w:rightChars="-51" w:firstLine="420" w:firstLineChars="200"/>
              <w:rPr>
                <w:rFonts w:ascii="宋体" w:hAnsi="宋体"/>
                <w:bCs/>
                <w:szCs w:val="21"/>
              </w:rPr>
            </w:pPr>
            <w:r>
              <w:rPr>
                <w:rFonts w:hint="eastAsia" w:ascii="宋体" w:hAnsi="宋体"/>
                <w:bCs/>
                <w:szCs w:val="21"/>
              </w:rPr>
              <w:t>理财产品费用包含销售</w:t>
            </w:r>
            <w:r>
              <w:rPr>
                <w:rFonts w:ascii="宋体" w:hAnsi="宋体"/>
                <w:bCs/>
                <w:szCs w:val="21"/>
              </w:rPr>
              <w:t>服务费、</w:t>
            </w:r>
            <w:r>
              <w:rPr>
                <w:rFonts w:hint="eastAsia" w:ascii="宋体" w:hAnsi="宋体"/>
                <w:bCs/>
                <w:szCs w:val="21"/>
              </w:rPr>
              <w:t>托管费</w:t>
            </w:r>
            <w:r>
              <w:rPr>
                <w:rFonts w:ascii="宋体" w:hAnsi="宋体"/>
                <w:bCs/>
                <w:szCs w:val="21"/>
              </w:rPr>
              <w:t>、</w:t>
            </w:r>
            <w:r>
              <w:rPr>
                <w:rFonts w:hint="eastAsia" w:ascii="宋体" w:hAnsi="宋体"/>
                <w:bCs/>
                <w:szCs w:val="21"/>
              </w:rPr>
              <w:t>投资管理费、代销服务费等相关费用。其中</w:t>
            </w:r>
            <w:r>
              <w:rPr>
                <w:rFonts w:ascii="宋体" w:hAnsi="宋体"/>
                <w:bCs/>
                <w:szCs w:val="21"/>
              </w:rPr>
              <w:t>销售服务费率为</w:t>
            </w:r>
            <w:r>
              <w:rPr>
                <w:rFonts w:hint="eastAsia" w:ascii="宋体" w:hAnsi="宋体"/>
                <w:bCs/>
                <w:szCs w:val="21"/>
                <w:lang w:val="en-US" w:eastAsia="zh-CN"/>
              </w:rPr>
              <w:t>0</w:t>
            </w:r>
            <w:r>
              <w:rPr>
                <w:rFonts w:ascii="宋体" w:hAnsi="宋体"/>
                <w:bCs/>
                <w:szCs w:val="21"/>
              </w:rPr>
              <w:t>%、</w:t>
            </w:r>
            <w:r>
              <w:rPr>
                <w:rFonts w:hint="eastAsia" w:ascii="宋体" w:hAnsi="宋体"/>
                <w:bCs/>
                <w:szCs w:val="21"/>
              </w:rPr>
              <w:t>托管费率为0.001%，委托第三方机构代理销售部分代销服务费为</w:t>
            </w:r>
            <w:r>
              <w:rPr>
                <w:rFonts w:hint="eastAsia" w:ascii="宋体" w:hAnsi="宋体"/>
                <w:bCs/>
                <w:szCs w:val="21"/>
                <w:lang w:val="en-US" w:eastAsia="zh-CN"/>
              </w:rPr>
              <w:t>0</w:t>
            </w:r>
            <w:r>
              <w:rPr>
                <w:rFonts w:hint="eastAsia" w:ascii="宋体" w:hAnsi="宋体"/>
                <w:bCs/>
                <w:szCs w:val="21"/>
              </w:rPr>
              <w:t>%。（上述各费用率均为年化数值，下同。）</w:t>
            </w:r>
          </w:p>
          <w:p>
            <w:pPr>
              <w:ind w:right="-107" w:rightChars="-51" w:firstLine="420" w:firstLineChars="200"/>
              <w:rPr>
                <w:rFonts w:ascii="宋体" w:hAnsi="宋体"/>
                <w:bCs/>
                <w:color w:val="000000"/>
                <w:szCs w:val="21"/>
              </w:rPr>
            </w:pPr>
            <w:r>
              <w:rPr>
                <w:rFonts w:hint="eastAsia" w:ascii="宋体" w:hAnsi="宋体"/>
                <w:bCs/>
                <w:color w:val="000000"/>
                <w:szCs w:val="21"/>
              </w:rPr>
              <w:t>理财产品的投资管理人（</w:t>
            </w:r>
            <w:r>
              <w:rPr>
                <w:rFonts w:hint="eastAsia" w:ascii="宋体" w:hAnsi="宋体"/>
                <w:bCs/>
                <w:szCs w:val="21"/>
              </w:rPr>
              <w:t>重庆农村商业银行</w:t>
            </w:r>
            <w:r>
              <w:rPr>
                <w:rFonts w:hint="eastAsia" w:ascii="宋体" w:hAnsi="宋体"/>
                <w:bCs/>
                <w:color w:val="000000"/>
                <w:szCs w:val="21"/>
              </w:rPr>
              <w:t>）或根据产品规定委托的第三方投资顾问，有权获取投资管理费。</w:t>
            </w:r>
            <w:r>
              <w:rPr>
                <w:rFonts w:hint="eastAsia" w:ascii="宋体" w:hAnsi="宋体"/>
                <w:bCs/>
                <w:szCs w:val="21"/>
              </w:rPr>
              <w:t>本理财产品投资的资产年化收益率扣除</w:t>
            </w:r>
            <w:r>
              <w:rPr>
                <w:rFonts w:ascii="宋体" w:hAnsi="宋体"/>
                <w:bCs/>
                <w:szCs w:val="21"/>
              </w:rPr>
              <w:t>销售服务费</w:t>
            </w:r>
            <w:r>
              <w:rPr>
                <w:rFonts w:hint="eastAsia" w:ascii="宋体" w:hAnsi="宋体"/>
                <w:bCs/>
                <w:szCs w:val="21"/>
              </w:rPr>
              <w:t>率和托管费率后超过参考年化净收益率的部分作为投资管理费率。</w:t>
            </w:r>
          </w:p>
          <w:p>
            <w:pPr>
              <w:ind w:right="-107" w:rightChars="-51" w:firstLine="420" w:firstLineChars="200"/>
              <w:rPr>
                <w:rFonts w:ascii="宋体"/>
                <w:bCs/>
                <w:szCs w:val="21"/>
              </w:rPr>
            </w:pPr>
            <w:r>
              <w:rPr>
                <w:rFonts w:hint="eastAsia" w:ascii="宋体" w:hAnsi="宋体"/>
                <w:bCs/>
                <w:szCs w:val="21"/>
              </w:rPr>
              <w:t>对于理财产品费用的费率，重庆农村商业银行保留变更的权利。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8" w:type="dxa"/>
            <w:vAlign w:val="center"/>
          </w:tcPr>
          <w:p>
            <w:pPr>
              <w:jc w:val="center"/>
              <w:rPr>
                <w:rFonts w:ascii="宋体"/>
                <w:bCs/>
                <w:szCs w:val="21"/>
              </w:rPr>
            </w:pPr>
            <w:r>
              <w:rPr>
                <w:rFonts w:hint="eastAsia" w:ascii="宋体" w:hAnsi="宋体"/>
                <w:bCs/>
                <w:szCs w:val="21"/>
              </w:rPr>
              <w:t>收益支付频率</w:t>
            </w:r>
          </w:p>
        </w:tc>
        <w:tc>
          <w:tcPr>
            <w:tcW w:w="7560" w:type="dxa"/>
          </w:tcPr>
          <w:p>
            <w:pPr>
              <w:ind w:left="3780" w:hanging="3780" w:hangingChars="1800"/>
              <w:rPr>
                <w:rFonts w:ascii="宋体"/>
                <w:bCs/>
                <w:szCs w:val="21"/>
              </w:rPr>
            </w:pPr>
            <w:r>
              <w:rPr>
                <w:rFonts w:hint="eastAsia" w:ascii="仿宋_GB2312" w:hAnsi="Times New Roman" w:eastAsia="仿宋_GB2312"/>
                <w:szCs w:val="21"/>
              </w:rPr>
              <w:t>■</w:t>
            </w:r>
            <w:r>
              <w:rPr>
                <w:rFonts w:hint="eastAsia" w:ascii="宋体" w:hAnsi="宋体"/>
                <w:bCs/>
                <w:szCs w:val="21"/>
              </w:rPr>
              <w:t>到期时一次性支付</w:t>
            </w:r>
          </w:p>
          <w:p>
            <w:pPr>
              <w:ind w:left="3780" w:hanging="3780" w:hangingChars="1800"/>
              <w:rPr>
                <w:rFonts w:ascii="宋体"/>
                <w:bCs/>
                <w:szCs w:val="21"/>
              </w:rPr>
            </w:pPr>
            <w:r>
              <w:rPr>
                <w:rFonts w:hint="eastAsia" w:ascii="宋体" w:hAnsi="宋体"/>
                <w:bCs/>
                <w:szCs w:val="21"/>
              </w:rPr>
              <w:t>□按季支付：结息日为每季末月的第</w:t>
            </w:r>
            <w:r>
              <w:rPr>
                <w:rFonts w:ascii="宋体" w:hAnsi="宋体"/>
                <w:bCs/>
                <w:szCs w:val="21"/>
              </w:rPr>
              <w:t>20</w:t>
            </w:r>
            <w:r>
              <w:rPr>
                <w:rFonts w:hint="eastAsia" w:ascii="宋体" w:hAnsi="宋体"/>
                <w:bCs/>
                <w:szCs w:val="21"/>
              </w:rPr>
              <w:t>日，付息日为结息日后</w:t>
            </w:r>
            <w:r>
              <w:rPr>
                <w:rFonts w:ascii="宋体" w:hAnsi="宋体"/>
                <w:bCs/>
                <w:szCs w:val="21"/>
              </w:rPr>
              <w:t>2</w:t>
            </w:r>
            <w:r>
              <w:rPr>
                <w:rFonts w:hint="eastAsia" w:ascii="宋体" w:hAnsi="宋体"/>
                <w:bCs/>
                <w:szCs w:val="21"/>
              </w:rPr>
              <w:t>个工作日内。</w:t>
            </w:r>
          </w:p>
          <w:p>
            <w:pPr>
              <w:ind w:left="3780" w:hanging="3780" w:hangingChars="1800"/>
              <w:rPr>
                <w:rFonts w:ascii="宋体"/>
                <w:b/>
                <w:bCs/>
                <w:szCs w:val="21"/>
                <w:u w:val="single"/>
              </w:rPr>
            </w:pPr>
            <w:r>
              <w:rPr>
                <w:rFonts w:hint="eastAsia" w:ascii="宋体" w:hAnsi="宋体"/>
                <w:bCs/>
                <w:szCs w:val="21"/>
              </w:rPr>
              <w:t>□</w:t>
            </w:r>
            <w:r>
              <w:rPr>
                <w:rFonts w:hint="eastAsia" w:ascii="宋体"/>
                <w:bCs/>
                <w:szCs w:val="21"/>
              </w:rPr>
              <w:t>其它约定：</w:t>
            </w:r>
            <w:r>
              <w:rPr>
                <w:rFonts w:hint="eastAsia" w:ascii="宋体"/>
                <w:bCs/>
                <w:szCs w:val="21"/>
                <w:u w:val="singl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8" w:type="dxa"/>
            <w:vAlign w:val="center"/>
          </w:tcPr>
          <w:p>
            <w:pPr>
              <w:jc w:val="center"/>
              <w:rPr>
                <w:rFonts w:ascii="宋体"/>
                <w:bCs/>
                <w:szCs w:val="21"/>
              </w:rPr>
            </w:pPr>
            <w:r>
              <w:rPr>
                <w:rFonts w:hint="eastAsia" w:ascii="宋体" w:hAnsi="宋体"/>
                <w:bCs/>
                <w:szCs w:val="21"/>
              </w:rPr>
              <w:t>认购起点金额</w:t>
            </w:r>
          </w:p>
        </w:tc>
        <w:tc>
          <w:tcPr>
            <w:tcW w:w="7560" w:type="dxa"/>
          </w:tcPr>
          <w:p>
            <w:pPr>
              <w:ind w:right="-107" w:rightChars="-51" w:firstLine="420" w:firstLineChars="200"/>
              <w:rPr>
                <w:rFonts w:ascii="宋体"/>
                <w:bCs/>
                <w:szCs w:val="21"/>
              </w:rPr>
            </w:pPr>
            <w:r>
              <w:rPr>
                <w:rFonts w:hint="eastAsia" w:ascii="宋体" w:hAnsi="宋体"/>
                <w:bCs/>
                <w:szCs w:val="21"/>
              </w:rPr>
              <w:t>个人客户：认购起点金额为1万元，高于认购起点金额部分以</w:t>
            </w:r>
            <w:r>
              <w:rPr>
                <w:rFonts w:ascii="宋体" w:hAnsi="宋体"/>
                <w:bCs/>
                <w:szCs w:val="21"/>
              </w:rPr>
              <w:t>1</w:t>
            </w:r>
            <w:r>
              <w:rPr>
                <w:rFonts w:hint="eastAsia" w:ascii="宋体" w:hAnsi="宋体"/>
                <w:bCs/>
                <w:szCs w:val="21"/>
              </w:rPr>
              <w:t>0</w:t>
            </w:r>
            <w:r>
              <w:rPr>
                <w:rFonts w:ascii="宋体" w:hAnsi="宋体"/>
                <w:bCs/>
                <w:szCs w:val="21"/>
              </w:rPr>
              <w:t>000</w:t>
            </w:r>
            <w:r>
              <w:rPr>
                <w:rFonts w:hint="eastAsia" w:ascii="宋体" w:hAnsi="宋体"/>
                <w:bCs/>
                <w:szCs w:val="21"/>
              </w:rPr>
              <w:t>元的整数倍递增。</w:t>
            </w:r>
          </w:p>
          <w:p>
            <w:pPr>
              <w:ind w:firstLine="420" w:firstLineChars="200"/>
              <w:rPr>
                <w:rFonts w:ascii="宋体"/>
                <w:bCs/>
                <w:szCs w:val="21"/>
              </w:rPr>
            </w:pPr>
            <w:r>
              <w:rPr>
                <w:rFonts w:hint="eastAsia" w:ascii="宋体" w:hAnsi="宋体"/>
                <w:bCs/>
                <w:szCs w:val="21"/>
              </w:rPr>
              <w:t>机构客户：认购起点金额为</w:t>
            </w:r>
            <w:r>
              <w:rPr>
                <w:rFonts w:ascii="宋体" w:hAnsi="宋体"/>
                <w:bCs/>
                <w:szCs w:val="21"/>
              </w:rPr>
              <w:t>100</w:t>
            </w:r>
            <w:r>
              <w:rPr>
                <w:rFonts w:hint="eastAsia" w:ascii="宋体" w:hAnsi="宋体"/>
                <w:bCs/>
                <w:szCs w:val="21"/>
              </w:rPr>
              <w:t>万元，高于认购起点金额部分以</w:t>
            </w:r>
            <w:r>
              <w:rPr>
                <w:rFonts w:ascii="宋体" w:hAnsi="宋体"/>
                <w:bCs/>
                <w:szCs w:val="21"/>
              </w:rPr>
              <w:t>10</w:t>
            </w:r>
            <w:r>
              <w:rPr>
                <w:rFonts w:hint="eastAsia" w:ascii="宋体" w:hAnsi="宋体"/>
                <w:bCs/>
                <w:szCs w:val="21"/>
              </w:rPr>
              <w:t>0</w:t>
            </w:r>
            <w:r>
              <w:rPr>
                <w:rFonts w:ascii="宋体" w:hAnsi="宋体"/>
                <w:bCs/>
                <w:szCs w:val="21"/>
              </w:rPr>
              <w:t>00</w:t>
            </w:r>
            <w:r>
              <w:rPr>
                <w:rFonts w:hint="eastAsia" w:ascii="宋体" w:hAnsi="宋体"/>
                <w:bCs/>
                <w:szCs w:val="21"/>
              </w:rPr>
              <w:t>元的整数倍递增。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8" w:type="dxa"/>
            <w:vAlign w:val="center"/>
          </w:tcPr>
          <w:p>
            <w:pPr>
              <w:jc w:val="center"/>
              <w:rPr>
                <w:rFonts w:ascii="宋体"/>
                <w:bCs/>
                <w:szCs w:val="21"/>
              </w:rPr>
            </w:pPr>
            <w:r>
              <w:rPr>
                <w:rFonts w:hint="eastAsia" w:ascii="宋体" w:hAnsi="宋体"/>
                <w:bCs/>
                <w:szCs w:val="21"/>
              </w:rPr>
              <w:t>提前终止权</w:t>
            </w:r>
          </w:p>
        </w:tc>
        <w:tc>
          <w:tcPr>
            <w:tcW w:w="7560" w:type="dxa"/>
          </w:tcPr>
          <w:p>
            <w:pPr>
              <w:ind w:firstLine="420" w:firstLineChars="200"/>
              <w:rPr>
                <w:rFonts w:ascii="宋体"/>
                <w:bCs/>
                <w:szCs w:val="21"/>
              </w:rPr>
            </w:pPr>
            <w:r>
              <w:rPr>
                <w:rFonts w:hint="eastAsia" w:ascii="宋体" w:hAnsi="宋体"/>
                <w:bCs/>
                <w:szCs w:val="21"/>
              </w:rPr>
              <w:t>客户无权提前终止该产品；在产品运作期间内，银行有权视产品运行情况提前终止本理财产品，详见“产品提前终止”条款。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8" w:type="dxa"/>
            <w:vAlign w:val="center"/>
          </w:tcPr>
          <w:p>
            <w:pPr>
              <w:jc w:val="center"/>
              <w:rPr>
                <w:rFonts w:ascii="宋体"/>
                <w:bCs/>
                <w:szCs w:val="21"/>
              </w:rPr>
            </w:pPr>
            <w:r>
              <w:rPr>
                <w:rFonts w:hint="eastAsia" w:ascii="宋体" w:hAnsi="宋体"/>
                <w:bCs/>
                <w:szCs w:val="21"/>
              </w:rPr>
              <w:t>工作日</w:t>
            </w:r>
          </w:p>
        </w:tc>
        <w:tc>
          <w:tcPr>
            <w:tcW w:w="7560" w:type="dxa"/>
          </w:tcPr>
          <w:p>
            <w:pPr>
              <w:ind w:firstLine="420" w:firstLineChars="200"/>
              <w:rPr>
                <w:rFonts w:ascii="宋体"/>
                <w:bCs/>
                <w:szCs w:val="21"/>
              </w:rPr>
            </w:pPr>
            <w:r>
              <w:rPr>
                <w:rFonts w:hint="eastAsia" w:ascii="宋体" w:hAnsi="宋体"/>
                <w:bCs/>
                <w:szCs w:val="21"/>
              </w:rPr>
              <w:t>中华人民共和国国家法定工作日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8" w:type="dxa"/>
            <w:vAlign w:val="center"/>
          </w:tcPr>
          <w:p>
            <w:pPr>
              <w:jc w:val="center"/>
              <w:rPr>
                <w:rFonts w:ascii="宋体"/>
                <w:bCs/>
                <w:szCs w:val="21"/>
              </w:rPr>
            </w:pPr>
            <w:r>
              <w:rPr>
                <w:rFonts w:hint="eastAsia" w:ascii="宋体" w:hAnsi="宋体"/>
                <w:bCs/>
                <w:szCs w:val="21"/>
              </w:rPr>
              <w:t>收益计算方法</w:t>
            </w:r>
          </w:p>
        </w:tc>
        <w:tc>
          <w:tcPr>
            <w:tcW w:w="7560" w:type="dxa"/>
          </w:tcPr>
          <w:p>
            <w:pPr>
              <w:ind w:firstLine="420" w:firstLineChars="200"/>
              <w:rPr>
                <w:rFonts w:ascii="宋体"/>
                <w:bCs/>
                <w:szCs w:val="21"/>
              </w:rPr>
            </w:pPr>
            <w:r>
              <w:rPr>
                <w:rFonts w:hint="eastAsia" w:ascii="宋体" w:hAnsi="宋体"/>
                <w:bCs/>
                <w:szCs w:val="21"/>
              </w:rPr>
              <w:t>正常到期：客户期末参考收益</w:t>
            </w:r>
            <w:r>
              <w:rPr>
                <w:rFonts w:ascii="宋体" w:hAnsi="宋体"/>
                <w:bCs/>
                <w:szCs w:val="21"/>
              </w:rPr>
              <w:t>=</w:t>
            </w:r>
            <w:r>
              <w:rPr>
                <w:rFonts w:hint="eastAsia" w:ascii="宋体" w:hAnsi="宋体"/>
                <w:bCs/>
                <w:szCs w:val="21"/>
              </w:rPr>
              <w:t>投资本金×客户参考年化净收益率×实际投资运作天数</w:t>
            </w:r>
            <w:r>
              <w:rPr>
                <w:rFonts w:ascii="宋体" w:hAnsi="宋体"/>
                <w:bCs/>
                <w:szCs w:val="21"/>
              </w:rPr>
              <w:t>/</w:t>
            </w:r>
            <w:r>
              <w:rPr>
                <w:rFonts w:hint="eastAsia" w:ascii="宋体" w:hAnsi="宋体"/>
                <w:bCs/>
                <w:szCs w:val="21"/>
              </w:rPr>
              <w:t>365</w:t>
            </w:r>
          </w:p>
          <w:p>
            <w:pPr>
              <w:ind w:firstLine="420" w:firstLineChars="200"/>
              <w:rPr>
                <w:rFonts w:ascii="宋体" w:hAnsi="宋体"/>
                <w:bCs/>
                <w:szCs w:val="21"/>
              </w:rPr>
            </w:pPr>
            <w:r>
              <w:rPr>
                <w:rFonts w:hint="eastAsia" w:ascii="宋体" w:hAnsi="宋体"/>
                <w:bCs/>
                <w:szCs w:val="21"/>
              </w:rPr>
              <w:t>提前终止时：客户期末参考收益</w:t>
            </w:r>
            <w:r>
              <w:rPr>
                <w:rFonts w:ascii="宋体" w:hAnsi="宋体"/>
                <w:bCs/>
                <w:szCs w:val="21"/>
              </w:rPr>
              <w:t>=</w:t>
            </w:r>
            <w:r>
              <w:rPr>
                <w:rFonts w:hint="eastAsia" w:ascii="宋体" w:hAnsi="宋体"/>
                <w:bCs/>
                <w:szCs w:val="21"/>
              </w:rPr>
              <w:t>投资本金×客户参考年化净收益率×实际存续天数</w:t>
            </w:r>
            <w:r>
              <w:rPr>
                <w:rFonts w:ascii="宋体" w:hAnsi="宋体"/>
                <w:bCs/>
                <w:szCs w:val="21"/>
              </w:rPr>
              <w:t>/</w:t>
            </w:r>
            <w:r>
              <w:rPr>
                <w:rFonts w:hint="eastAsia" w:ascii="宋体" w:hAnsi="宋体"/>
                <w:bCs/>
                <w:szCs w:val="21"/>
              </w:rPr>
              <w:t>365</w:t>
            </w:r>
          </w:p>
          <w:p>
            <w:pPr>
              <w:rPr>
                <w:rFonts w:ascii="宋体"/>
                <w:bCs/>
                <w:szCs w:val="21"/>
              </w:rPr>
            </w:pPr>
            <w:r>
              <w:rPr>
                <w:rFonts w:hint="eastAsia" w:ascii="宋体" w:hAnsi="宋体"/>
                <w:bCs/>
                <w:szCs w:val="21"/>
              </w:rPr>
              <w:t>实际投资运作天数为产品成立日（含）至产品到期日（不含）止</w:t>
            </w:r>
          </w:p>
          <w:p>
            <w:pPr>
              <w:rPr>
                <w:rFonts w:ascii="宋体"/>
                <w:bCs/>
                <w:szCs w:val="21"/>
              </w:rPr>
            </w:pPr>
            <w:r>
              <w:rPr>
                <w:rFonts w:hint="eastAsia" w:ascii="宋体" w:hAnsi="宋体"/>
                <w:bCs/>
                <w:szCs w:val="21"/>
              </w:rPr>
              <w:t>实际存续天数为产品成立日（含）到产品提前终止日（不含）止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8" w:type="dxa"/>
            <w:vAlign w:val="center"/>
          </w:tcPr>
          <w:p>
            <w:pPr>
              <w:jc w:val="center"/>
              <w:rPr>
                <w:rFonts w:ascii="宋体"/>
                <w:bCs/>
                <w:szCs w:val="21"/>
              </w:rPr>
            </w:pPr>
            <w:r>
              <w:rPr>
                <w:rFonts w:hint="eastAsia" w:ascii="宋体" w:hAnsi="宋体"/>
                <w:bCs/>
                <w:szCs w:val="21"/>
              </w:rPr>
              <w:t>税款</w:t>
            </w:r>
          </w:p>
        </w:tc>
        <w:tc>
          <w:tcPr>
            <w:tcW w:w="7560" w:type="dxa"/>
          </w:tcPr>
          <w:p>
            <w:pPr>
              <w:ind w:firstLine="420" w:firstLineChars="200"/>
              <w:rPr>
                <w:rFonts w:ascii="宋体"/>
                <w:bCs/>
                <w:szCs w:val="21"/>
              </w:rPr>
            </w:pPr>
            <w:r>
              <w:rPr>
                <w:rFonts w:hint="eastAsia" w:ascii="宋体" w:hAnsi="宋体"/>
                <w:bCs/>
                <w:szCs w:val="21"/>
              </w:rPr>
              <w:t>根据财政部、国家税务总局相关税收监管政策的规定，理财产品运营过程中发生的增值税应税行为，以管理人为增值税纳税人，计算并交纳增值税及附加税费。重庆农村商业银行作为理财产品管理人，将按照相关规定计算应缴纳的税费，并从理财产品财产中支付。</w:t>
            </w:r>
            <w:r>
              <w:rPr>
                <w:rFonts w:ascii="宋体" w:hAnsi="宋体"/>
                <w:bCs/>
                <w:szCs w:val="21"/>
              </w:rPr>
              <w:t>除法律法规特别要求外，</w:t>
            </w:r>
            <w:r>
              <w:rPr>
                <w:rFonts w:hint="eastAsia" w:ascii="宋体" w:hAnsi="宋体"/>
                <w:bCs/>
                <w:szCs w:val="21"/>
              </w:rPr>
              <w:t>理财收益的应纳税款由客户自行申报及缴纳</w:t>
            </w:r>
            <w:r>
              <w:rPr>
                <w:rFonts w:hint="eastAsia"/>
                <w:kern w:val="0"/>
                <w:szCs w:val="21"/>
              </w:rPr>
              <w:t>，理财</w:t>
            </w:r>
            <w:r>
              <w:rPr>
                <w:kern w:val="0"/>
                <w:szCs w:val="21"/>
              </w:rPr>
              <w:t>产品管理人不承担代扣代缴或纳税的义务</w:t>
            </w:r>
            <w:r>
              <w:rPr>
                <w:rFonts w:hint="eastAsia" w:ascii="宋体" w:hAnsi="宋体"/>
                <w:bCs/>
                <w:szCs w:val="21"/>
              </w:rPr>
              <w:t>。后续国家法律法规如对相关税收政策进行调整，重庆农村商业银行有权根据税收政策相应调整理财产品运营过程中发生的税费承担方式。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8" w:type="dxa"/>
            <w:vAlign w:val="center"/>
          </w:tcPr>
          <w:p>
            <w:pPr>
              <w:jc w:val="center"/>
              <w:rPr>
                <w:rFonts w:ascii="宋体"/>
                <w:bCs/>
                <w:szCs w:val="21"/>
              </w:rPr>
            </w:pPr>
            <w:r>
              <w:rPr>
                <w:rFonts w:hint="eastAsia" w:ascii="宋体" w:hAnsi="宋体"/>
                <w:bCs/>
                <w:szCs w:val="21"/>
              </w:rPr>
              <w:t>其他规定</w:t>
            </w:r>
          </w:p>
          <w:p>
            <w:pPr>
              <w:jc w:val="center"/>
              <w:rPr>
                <w:rFonts w:ascii="宋体"/>
                <w:bCs/>
                <w:szCs w:val="21"/>
              </w:rPr>
            </w:pPr>
          </w:p>
        </w:tc>
        <w:tc>
          <w:tcPr>
            <w:tcW w:w="7560" w:type="dxa"/>
          </w:tcPr>
          <w:p>
            <w:pPr>
              <w:ind w:firstLine="420" w:firstLineChars="200"/>
              <w:rPr>
                <w:rFonts w:ascii="宋体"/>
                <w:bCs/>
                <w:szCs w:val="21"/>
              </w:rPr>
            </w:pPr>
            <w:r>
              <w:rPr>
                <w:rFonts w:hint="eastAsia" w:ascii="宋体" w:hAnsi="宋体"/>
                <w:bCs/>
                <w:szCs w:val="21"/>
              </w:rPr>
              <w:t>到期日（或提前终止日）至兑付日之间客户资金不计收益，募集期内按照活期储蓄利率计息，募集期内的利息不计入认购本金份额。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8" w:type="dxa"/>
            <w:vAlign w:val="center"/>
          </w:tcPr>
          <w:p>
            <w:pPr>
              <w:jc w:val="center"/>
              <w:rPr>
                <w:rFonts w:ascii="宋体" w:hAnsi="宋体"/>
                <w:bCs/>
                <w:szCs w:val="21"/>
              </w:rPr>
            </w:pPr>
            <w:r>
              <w:rPr>
                <w:rFonts w:hint="eastAsia" w:ascii="宋体" w:hAnsi="宋体" w:cs="宋体"/>
              </w:rPr>
              <w:t>理财产品托管人</w:t>
            </w:r>
          </w:p>
        </w:tc>
        <w:tc>
          <w:tcPr>
            <w:tcW w:w="7560" w:type="dxa"/>
          </w:tcPr>
          <w:p>
            <w:pPr>
              <w:ind w:firstLine="420" w:firstLineChars="200"/>
              <w:rPr>
                <w:rFonts w:ascii="宋体" w:hAnsi="宋体"/>
                <w:bCs/>
                <w:szCs w:val="21"/>
              </w:rPr>
            </w:pPr>
            <w:r>
              <w:rPr>
                <w:rFonts w:hint="eastAsia" w:ascii="宋体" w:hAnsi="宋体" w:cs="宋体"/>
              </w:rPr>
              <w:t>兴业</w:t>
            </w:r>
            <w:r>
              <w:rPr>
                <w:rFonts w:ascii="宋体" w:hAnsi="宋体" w:cs="宋体"/>
              </w:rPr>
              <w:t>银行股份有限公司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8" w:type="dxa"/>
            <w:vAlign w:val="center"/>
          </w:tcPr>
          <w:p>
            <w:pPr>
              <w:jc w:val="center"/>
              <w:rPr>
                <w:rFonts w:ascii="宋体" w:hAnsi="宋体"/>
                <w:bCs/>
                <w:szCs w:val="21"/>
              </w:rPr>
            </w:pPr>
            <w:r>
              <w:rPr>
                <w:rFonts w:hint="eastAsia" w:ascii="宋体" w:hAnsi="宋体"/>
                <w:bCs/>
                <w:szCs w:val="21"/>
              </w:rPr>
              <w:t>理财产品管理人</w:t>
            </w:r>
          </w:p>
        </w:tc>
        <w:tc>
          <w:tcPr>
            <w:tcW w:w="7560" w:type="dxa"/>
          </w:tcPr>
          <w:p>
            <w:pPr>
              <w:ind w:firstLine="420" w:firstLineChars="200"/>
              <w:rPr>
                <w:rFonts w:ascii="宋体" w:hAnsi="宋体"/>
                <w:bCs/>
                <w:szCs w:val="21"/>
              </w:rPr>
            </w:pPr>
            <w:r>
              <w:rPr>
                <w:rFonts w:hint="eastAsia" w:ascii="宋体" w:hAnsi="宋体"/>
                <w:bCs/>
                <w:szCs w:val="21"/>
              </w:rPr>
              <w:t>重庆农村商业银行股份有限公司</w:t>
            </w:r>
          </w:p>
        </w:tc>
      </w:tr>
    </w:tbl>
    <w:p>
      <w:pPr>
        <w:spacing w:line="360" w:lineRule="auto"/>
        <w:ind w:firstLine="420"/>
        <w:rPr>
          <w:rFonts w:ascii="仿宋_GB2312" w:hAnsi="仿宋" w:eastAsia="仿宋_GB2312" w:cs="仿宋_GB2312"/>
          <w:b/>
          <w:kern w:val="0"/>
          <w:szCs w:val="21"/>
        </w:rPr>
      </w:pPr>
      <w:r>
        <w:rPr>
          <w:rFonts w:hint="eastAsia" w:ascii="仿宋_GB2312" w:hAnsi="仿宋" w:eastAsia="仿宋_GB2312" w:cs="仿宋_GB2312"/>
          <w:b/>
          <w:kern w:val="0"/>
          <w:szCs w:val="21"/>
        </w:rPr>
        <w:t>本产品的内部风险评级仅是重庆农村商业银行内部测评结果，仅供投资者参考，不具有任何法律约束力。</w:t>
      </w:r>
    </w:p>
    <w:p>
      <w:pPr>
        <w:spacing w:line="360" w:lineRule="auto"/>
        <w:ind w:firstLine="482" w:firstLineChars="200"/>
        <w:rPr>
          <w:rFonts w:ascii="宋体"/>
          <w:b/>
          <w:bCs/>
          <w:sz w:val="24"/>
        </w:rPr>
      </w:pPr>
      <w:r>
        <w:rPr>
          <w:rFonts w:hint="eastAsia" w:ascii="宋体" w:hAnsi="宋体"/>
          <w:b/>
          <w:bCs/>
          <w:sz w:val="24"/>
        </w:rPr>
        <w:t>二、投资范围</w:t>
      </w:r>
    </w:p>
    <w:p>
      <w:pPr>
        <w:spacing w:line="360" w:lineRule="auto"/>
        <w:ind w:firstLine="420" w:firstLineChars="200"/>
      </w:pPr>
      <w:r>
        <w:rPr>
          <w:rFonts w:hint="eastAsia" w:ascii="宋体" w:hAnsi="宋体"/>
        </w:rPr>
        <w:t>本次理财资金拟投资于符合监管要求的固定收益类资产100%，包括但不限于各类债券、存款、货币市场基金、债券基金、质押式及买断式回购等。其中：</w:t>
      </w:r>
      <w:r>
        <w:rPr>
          <w:rFonts w:hint="eastAsia" w:ascii="宋体" w:hAnsi="宋体"/>
        </w:rPr>
        <w:br w:type="textWrapping"/>
      </w:r>
      <w:r>
        <w:rPr>
          <w:rFonts w:hint="eastAsia" w:ascii="宋体" w:hAnsi="宋体"/>
        </w:rPr>
        <w:t xml:space="preserve">    同业往来资产（0-95%），债券类（5%-100%），其它符合监管要求的固定收益类资产（0-95%）。</w:t>
      </w:r>
    </w:p>
    <w:p>
      <w:pPr>
        <w:spacing w:line="360" w:lineRule="auto"/>
        <w:ind w:firstLine="422" w:firstLineChars="200"/>
        <w:rPr>
          <w:rFonts w:ascii="宋体"/>
          <w:b/>
          <w:bCs/>
          <w:szCs w:val="21"/>
        </w:rPr>
      </w:pPr>
      <w:r>
        <w:rPr>
          <w:rFonts w:hint="eastAsia" w:ascii="宋体" w:hAnsi="宋体"/>
          <w:b/>
          <w:szCs w:val="21"/>
        </w:rPr>
        <w:t>重庆农村商业银行</w:t>
      </w:r>
      <w:r>
        <w:rPr>
          <w:rFonts w:hint="eastAsia" w:ascii="宋体" w:hAnsi="宋体"/>
          <w:b/>
          <w:bCs/>
          <w:szCs w:val="21"/>
        </w:rPr>
        <w:t>将本着诚实信用、谨慎勤勉的原则，在规定的范围内运用理财资金进行投资，银行确保产品在理财计划存续期限内维持产品风险评级不变，但并不保证理财本金的安全及理财收益的实现，理财产品具体投资资产种类及比例将在产品成立公告中进行披露。</w:t>
      </w:r>
    </w:p>
    <w:p>
      <w:pPr>
        <w:spacing w:line="360" w:lineRule="auto"/>
        <w:ind w:firstLine="482" w:firstLineChars="200"/>
        <w:rPr>
          <w:rFonts w:ascii="宋体"/>
          <w:b/>
          <w:bCs/>
          <w:sz w:val="24"/>
        </w:rPr>
      </w:pPr>
      <w:r>
        <w:rPr>
          <w:rFonts w:hint="eastAsia" w:ascii="宋体" w:hAnsi="宋体"/>
          <w:b/>
          <w:bCs/>
          <w:sz w:val="24"/>
        </w:rPr>
        <w:t>三、理财产品费用及收益</w:t>
      </w:r>
    </w:p>
    <w:p>
      <w:pPr>
        <w:spacing w:line="360" w:lineRule="auto"/>
        <w:ind w:firstLine="420" w:firstLineChars="200"/>
        <w:rPr>
          <w:rFonts w:ascii="宋体"/>
          <w:bCs/>
          <w:szCs w:val="21"/>
        </w:rPr>
      </w:pPr>
      <w:r>
        <w:rPr>
          <w:rFonts w:ascii="宋体" w:hAnsi="宋体"/>
          <w:bCs/>
          <w:szCs w:val="21"/>
        </w:rPr>
        <w:t>1.</w:t>
      </w:r>
      <w:r>
        <w:rPr>
          <w:rFonts w:hint="eastAsia" w:ascii="宋体" w:hAnsi="宋体"/>
          <w:bCs/>
          <w:szCs w:val="21"/>
        </w:rPr>
        <w:t>声明</w:t>
      </w:r>
    </w:p>
    <w:p>
      <w:pPr>
        <w:spacing w:line="360" w:lineRule="auto"/>
        <w:ind w:firstLine="420" w:firstLineChars="200"/>
        <w:rPr>
          <w:rFonts w:ascii="宋体"/>
          <w:bCs/>
          <w:szCs w:val="21"/>
        </w:rPr>
      </w:pPr>
      <w:r>
        <w:rPr>
          <w:rFonts w:hint="eastAsia" w:ascii="宋体" w:hAnsi="宋体"/>
          <w:bCs/>
          <w:szCs w:val="21"/>
        </w:rPr>
        <w:t>本产品的参考收益仅为银行根据假设、或历史数据或以往投资结果进行的预测，不代表投资者获得的实际收益，亦不构成银行对该理财产品任何收益的承诺。投资者按其本金占该产品项下所有募集资金的比例和合同文件约定的收益分配方式，获得相应比例的收益。投资者所能获得的最终收益以</w:t>
      </w:r>
      <w:r>
        <w:rPr>
          <w:rFonts w:hint="eastAsia" w:ascii="宋体" w:hAnsi="宋体"/>
          <w:szCs w:val="21"/>
        </w:rPr>
        <w:t>重庆农村商业银行</w:t>
      </w:r>
      <w:r>
        <w:rPr>
          <w:rFonts w:hint="eastAsia" w:ascii="宋体" w:hAnsi="宋体"/>
          <w:bCs/>
          <w:szCs w:val="21"/>
        </w:rPr>
        <w:t>根据理财产品说明书有关条款支付给客户的实际金额为准。</w:t>
      </w:r>
    </w:p>
    <w:p>
      <w:pPr>
        <w:spacing w:line="360" w:lineRule="auto"/>
        <w:ind w:firstLine="420" w:firstLineChars="200"/>
        <w:rPr>
          <w:rFonts w:ascii="宋体"/>
          <w:bCs/>
          <w:szCs w:val="21"/>
        </w:rPr>
      </w:pPr>
      <w:r>
        <w:rPr>
          <w:rFonts w:ascii="宋体" w:hAnsi="宋体"/>
          <w:bCs/>
          <w:szCs w:val="21"/>
        </w:rPr>
        <w:t>2.</w:t>
      </w:r>
      <w:r>
        <w:rPr>
          <w:rFonts w:hint="eastAsia" w:ascii="宋体" w:hAnsi="宋体"/>
          <w:bCs/>
          <w:szCs w:val="21"/>
        </w:rPr>
        <w:t>收益测算方法及测算依据</w:t>
      </w:r>
    </w:p>
    <w:p>
      <w:pPr>
        <w:spacing w:line="360" w:lineRule="auto"/>
        <w:ind w:firstLine="420" w:firstLineChars="200"/>
        <w:rPr>
          <w:rFonts w:ascii="宋体"/>
          <w:bCs/>
          <w:szCs w:val="21"/>
        </w:rPr>
      </w:pPr>
      <w:r>
        <w:rPr>
          <w:rFonts w:hint="eastAsia" w:ascii="宋体" w:hAnsi="宋体"/>
          <w:bCs/>
          <w:szCs w:val="21"/>
        </w:rPr>
        <w:t>理财计划客户参考年化净收益率</w:t>
      </w:r>
      <w:r>
        <w:rPr>
          <w:rFonts w:ascii="宋体" w:hAnsi="宋体"/>
          <w:bCs/>
          <w:szCs w:val="21"/>
        </w:rPr>
        <w:t>=</w:t>
      </w:r>
      <w:r>
        <w:rPr>
          <w:rFonts w:hint="eastAsia" w:ascii="宋体" w:hAnsi="宋体"/>
          <w:bCs/>
          <w:szCs w:val="21"/>
        </w:rPr>
        <w:t>理财计划资产收益率</w:t>
      </w:r>
      <w:r>
        <w:rPr>
          <w:rFonts w:ascii="宋体"/>
          <w:bCs/>
          <w:szCs w:val="21"/>
        </w:rPr>
        <w:t>-</w:t>
      </w:r>
      <w:r>
        <w:rPr>
          <w:rFonts w:hint="eastAsia" w:ascii="宋体" w:hAnsi="宋体"/>
          <w:bCs/>
          <w:szCs w:val="21"/>
        </w:rPr>
        <w:t>理财产品费率。</w:t>
      </w:r>
    </w:p>
    <w:p>
      <w:pPr>
        <w:spacing w:line="360" w:lineRule="auto"/>
        <w:ind w:firstLine="420" w:firstLineChars="200"/>
        <w:rPr>
          <w:rFonts w:ascii="宋体"/>
          <w:bCs/>
          <w:szCs w:val="21"/>
        </w:rPr>
      </w:pPr>
      <w:r>
        <w:rPr>
          <w:rFonts w:ascii="宋体" w:hAnsi="宋体"/>
          <w:bCs/>
          <w:szCs w:val="21"/>
        </w:rPr>
        <w:t>3</w:t>
      </w:r>
      <w:r>
        <w:rPr>
          <w:rFonts w:ascii="宋体"/>
          <w:bCs/>
          <w:szCs w:val="21"/>
        </w:rPr>
        <w:t>.</w:t>
      </w:r>
      <w:r>
        <w:rPr>
          <w:rFonts w:hint="eastAsia" w:ascii="宋体" w:hAnsi="宋体"/>
          <w:bCs/>
          <w:szCs w:val="21"/>
        </w:rPr>
        <w:t>收益计算示例</w:t>
      </w:r>
    </w:p>
    <w:p>
      <w:pPr>
        <w:spacing w:line="360" w:lineRule="auto"/>
        <w:ind w:firstLine="420"/>
        <w:rPr>
          <w:rFonts w:ascii="仿宋_GB2312" w:hAnsi="仿宋" w:eastAsia="仿宋_GB2312" w:cs="仿宋_GB2312"/>
          <w:kern w:val="0"/>
          <w:szCs w:val="21"/>
        </w:rPr>
      </w:pPr>
      <w:r>
        <w:rPr>
          <w:rFonts w:hint="eastAsia" w:ascii="仿宋_GB2312" w:hAnsi="仿宋" w:eastAsia="仿宋_GB2312" w:cs="仿宋_GB2312"/>
          <w:kern w:val="0"/>
          <w:szCs w:val="21"/>
        </w:rPr>
        <w:t>假定理财本金为</w:t>
      </w:r>
      <w:bookmarkStart w:id="1" w:name="若为100W1"/>
      <w:r>
        <w:rPr>
          <w:rFonts w:hint="eastAsia" w:ascii="仿宋_GB2312" w:hAnsi="仿宋" w:eastAsia="仿宋_GB2312" w:cs="仿宋_GB2312"/>
          <w:kern w:val="0"/>
          <w:szCs w:val="21"/>
        </w:rPr>
        <w:t>10</w:t>
      </w:r>
      <w:bookmarkEnd w:id="1"/>
      <w:r>
        <w:rPr>
          <w:rFonts w:hint="eastAsia" w:ascii="仿宋_GB2312" w:hAnsi="仿宋" w:eastAsia="仿宋_GB2312" w:cs="仿宋_GB2312"/>
          <w:kern w:val="0"/>
          <w:szCs w:val="21"/>
        </w:rPr>
        <w:t>万元人民币，投资于该产品的参考年化净收益率为</w:t>
      </w:r>
      <w:r>
        <w:rPr>
          <w:rFonts w:hint="eastAsia" w:ascii="仿宋_GB2312" w:hAnsi="仿宋" w:eastAsia="仿宋_GB2312" w:cs="仿宋_GB2312"/>
          <w:kern w:val="0"/>
          <w:szCs w:val="21"/>
          <w:lang w:val="en-US" w:eastAsia="zh-CN"/>
        </w:rPr>
        <w:t>4.0</w:t>
      </w:r>
      <w:r>
        <w:rPr>
          <w:rFonts w:ascii="仿宋_GB2312" w:hAnsi="仿宋" w:eastAsia="仿宋_GB2312" w:cs="仿宋_GB2312"/>
          <w:kern w:val="0"/>
          <w:szCs w:val="21"/>
        </w:rPr>
        <w:t>%</w:t>
      </w:r>
      <w:r>
        <w:rPr>
          <w:rFonts w:hint="eastAsia" w:ascii="仿宋_GB2312" w:hAnsi="仿宋" w:eastAsia="仿宋_GB2312" w:cs="仿宋_GB2312"/>
          <w:kern w:val="0"/>
          <w:szCs w:val="21"/>
        </w:rPr>
        <w:t>，实际理财期为</w:t>
      </w:r>
      <w:r>
        <w:rPr>
          <w:rFonts w:hint="eastAsia" w:ascii="仿宋_GB2312" w:hAnsi="仿宋" w:eastAsia="仿宋_GB2312" w:cs="仿宋_GB2312"/>
          <w:kern w:val="0"/>
          <w:szCs w:val="21"/>
          <w:lang w:val="en-US" w:eastAsia="zh-CN"/>
        </w:rPr>
        <w:t>196</w:t>
      </w:r>
      <w:r>
        <w:rPr>
          <w:rFonts w:hint="eastAsia" w:ascii="仿宋_GB2312" w:hAnsi="仿宋" w:eastAsia="仿宋_GB2312" w:cs="仿宋_GB2312"/>
          <w:kern w:val="0"/>
          <w:szCs w:val="21"/>
        </w:rPr>
        <w:t>天，则投资者的收益</w:t>
      </w:r>
      <w:r>
        <w:rPr>
          <w:rFonts w:ascii="仿宋_GB2312" w:hAnsi="仿宋" w:eastAsia="仿宋_GB2312" w:cs="仿宋_GB2312"/>
          <w:kern w:val="0"/>
          <w:szCs w:val="21"/>
        </w:rPr>
        <w:t xml:space="preserve">= </w:t>
      </w:r>
      <w:bookmarkStart w:id="2" w:name="若为100W2"/>
      <w:r>
        <w:rPr>
          <w:rFonts w:hint="eastAsia" w:ascii="仿宋_GB2312" w:hAnsi="仿宋" w:eastAsia="仿宋_GB2312" w:cs="仿宋_GB2312"/>
          <w:kern w:val="0"/>
          <w:szCs w:val="21"/>
        </w:rPr>
        <w:t>100000</w:t>
      </w:r>
      <w:bookmarkEnd w:id="2"/>
      <w:r>
        <w:rPr>
          <w:rFonts w:hint="eastAsia" w:ascii="仿宋_GB2312" w:hAnsi="仿宋" w:eastAsia="仿宋_GB2312" w:cs="仿宋_GB2312"/>
          <w:kern w:val="0"/>
          <w:szCs w:val="21"/>
        </w:rPr>
        <w:t>×</w:t>
      </w:r>
      <w:r>
        <w:rPr>
          <w:rFonts w:hint="eastAsia" w:ascii="仿宋_GB2312" w:hAnsi="仿宋" w:eastAsia="仿宋_GB2312" w:cs="仿宋_GB2312"/>
          <w:kern w:val="0"/>
          <w:szCs w:val="21"/>
          <w:lang w:val="en-US" w:eastAsia="zh-CN"/>
        </w:rPr>
        <w:t>4.0</w:t>
      </w:r>
      <w:r>
        <w:rPr>
          <w:rFonts w:ascii="仿宋_GB2312" w:hAnsi="仿宋" w:eastAsia="仿宋_GB2312" w:cs="仿宋_GB2312"/>
          <w:kern w:val="0"/>
          <w:szCs w:val="21"/>
        </w:rPr>
        <w:t>%</w:t>
      </w:r>
      <w:r>
        <w:rPr>
          <w:rFonts w:hint="eastAsia" w:ascii="仿宋_GB2312" w:hAnsi="仿宋" w:eastAsia="仿宋_GB2312" w:cs="仿宋_GB2312"/>
          <w:kern w:val="0"/>
          <w:szCs w:val="21"/>
        </w:rPr>
        <w:t>×</w:t>
      </w:r>
      <w:r>
        <w:rPr>
          <w:rFonts w:hint="eastAsia" w:ascii="仿宋_GB2312" w:hAnsi="仿宋" w:eastAsia="仿宋_GB2312" w:cs="仿宋_GB2312"/>
          <w:kern w:val="0"/>
          <w:szCs w:val="21"/>
          <w:lang w:val="en-US" w:eastAsia="zh-CN"/>
        </w:rPr>
        <w:t>196</w:t>
      </w:r>
      <w:r>
        <w:rPr>
          <w:rFonts w:ascii="仿宋_GB2312" w:hAnsi="仿宋" w:eastAsia="仿宋_GB2312" w:cs="仿宋_GB2312"/>
          <w:kern w:val="0"/>
          <w:szCs w:val="21"/>
        </w:rPr>
        <w:t>/</w:t>
      </w:r>
      <w:r>
        <w:rPr>
          <w:rFonts w:hint="eastAsia" w:ascii="仿宋_GB2312" w:hAnsi="仿宋" w:eastAsia="仿宋_GB2312" w:cs="仿宋_GB2312"/>
          <w:kern w:val="0"/>
          <w:szCs w:val="21"/>
        </w:rPr>
        <w:t>365</w:t>
      </w:r>
      <w:r>
        <w:rPr>
          <w:rFonts w:ascii="仿宋_GB2312" w:hAnsi="仿宋" w:eastAsia="仿宋_GB2312" w:cs="仿宋_GB2312"/>
          <w:kern w:val="0"/>
          <w:szCs w:val="21"/>
        </w:rPr>
        <w:t>=</w:t>
      </w:r>
      <w:r>
        <w:rPr>
          <w:rFonts w:hint="eastAsia" w:ascii="仿宋_GB2312" w:hAnsi="仿宋" w:eastAsia="仿宋_GB2312" w:cs="仿宋_GB2312"/>
          <w:kern w:val="0"/>
          <w:szCs w:val="21"/>
          <w:lang w:val="en-US" w:eastAsia="zh-CN"/>
        </w:rPr>
        <w:t>2147.95</w:t>
      </w:r>
      <w:bookmarkStart w:id="3" w:name="_GoBack"/>
      <w:bookmarkEnd w:id="3"/>
      <w:r>
        <w:rPr>
          <w:rFonts w:hint="eastAsia" w:ascii="仿宋_GB2312" w:hAnsi="仿宋" w:eastAsia="仿宋_GB2312" w:cs="仿宋_GB2312"/>
          <w:kern w:val="0"/>
          <w:szCs w:val="21"/>
        </w:rPr>
        <w:t>元。</w:t>
      </w:r>
    </w:p>
    <w:p>
      <w:pPr>
        <w:spacing w:line="360" w:lineRule="auto"/>
        <w:ind w:firstLine="422"/>
        <w:rPr>
          <w:rFonts w:ascii="仿宋_GB2312" w:hAnsi="仿宋" w:eastAsia="仿宋_GB2312" w:cs="仿宋_GB2312"/>
          <w:b/>
          <w:kern w:val="0"/>
          <w:szCs w:val="21"/>
        </w:rPr>
      </w:pPr>
      <w:r>
        <w:rPr>
          <w:rFonts w:hint="eastAsia" w:ascii="仿宋_GB2312" w:hAnsi="仿宋" w:eastAsia="仿宋_GB2312" w:cs="仿宋_GB2312"/>
          <w:b/>
          <w:kern w:val="0"/>
          <w:szCs w:val="21"/>
        </w:rPr>
        <w:t>（测算收益不等于实际收益，投资须谨慎）</w:t>
      </w:r>
    </w:p>
    <w:p>
      <w:pPr>
        <w:spacing w:line="360" w:lineRule="auto"/>
        <w:ind w:firstLine="420" w:firstLineChars="200"/>
        <w:rPr>
          <w:rFonts w:ascii="宋体"/>
          <w:bCs/>
          <w:szCs w:val="21"/>
        </w:rPr>
      </w:pPr>
      <w:r>
        <w:rPr>
          <w:rFonts w:ascii="宋体" w:hAnsi="宋体"/>
          <w:bCs/>
          <w:szCs w:val="21"/>
        </w:rPr>
        <w:t>4</w:t>
      </w:r>
      <w:r>
        <w:rPr>
          <w:rFonts w:ascii="宋体"/>
          <w:bCs/>
          <w:szCs w:val="21"/>
        </w:rPr>
        <w:t>.</w:t>
      </w:r>
      <w:r>
        <w:rPr>
          <w:rFonts w:hint="eastAsia" w:ascii="宋体" w:hAnsi="宋体"/>
          <w:bCs/>
          <w:szCs w:val="21"/>
        </w:rPr>
        <w:t>特别说明</w:t>
      </w:r>
    </w:p>
    <w:p>
      <w:pPr>
        <w:spacing w:line="360" w:lineRule="auto"/>
        <w:ind w:firstLine="420" w:firstLineChars="200"/>
        <w:rPr>
          <w:rFonts w:ascii="宋体" w:hAnsi="宋体"/>
          <w:bCs/>
          <w:szCs w:val="21"/>
        </w:rPr>
      </w:pPr>
      <w:r>
        <w:rPr>
          <w:rFonts w:hint="eastAsia" w:ascii="宋体" w:hAnsi="宋体"/>
          <w:bCs/>
          <w:szCs w:val="21"/>
        </w:rPr>
        <w:t>在本期产品存续期间，不开放赎回；理财本金在到期</w:t>
      </w:r>
      <w:r>
        <w:rPr>
          <w:rFonts w:ascii="宋体" w:hAnsi="宋体"/>
          <w:bCs/>
          <w:szCs w:val="21"/>
        </w:rPr>
        <w:t>/</w:t>
      </w:r>
      <w:r>
        <w:rPr>
          <w:rFonts w:hint="eastAsia" w:ascii="宋体" w:hAnsi="宋体"/>
          <w:bCs/>
          <w:szCs w:val="21"/>
        </w:rPr>
        <w:t>提前终止时，根据投资实际情况一次兑付。</w:t>
      </w:r>
    </w:p>
    <w:p>
      <w:pPr>
        <w:spacing w:line="360" w:lineRule="auto"/>
        <w:ind w:firstLine="482" w:firstLineChars="200"/>
        <w:rPr>
          <w:rFonts w:ascii="宋体"/>
          <w:b/>
          <w:bCs/>
          <w:sz w:val="24"/>
        </w:rPr>
      </w:pPr>
      <w:r>
        <w:rPr>
          <w:rFonts w:hint="eastAsia" w:ascii="宋体" w:hAnsi="宋体"/>
          <w:b/>
          <w:bCs/>
          <w:sz w:val="24"/>
        </w:rPr>
        <w:t>四、产品提前终止</w:t>
      </w:r>
    </w:p>
    <w:p>
      <w:pPr>
        <w:spacing w:line="360" w:lineRule="auto"/>
        <w:ind w:firstLine="420" w:firstLineChars="200"/>
        <w:rPr>
          <w:rFonts w:ascii="宋体"/>
          <w:bCs/>
          <w:szCs w:val="21"/>
        </w:rPr>
      </w:pPr>
      <w:r>
        <w:rPr>
          <w:rFonts w:hint="eastAsia" w:ascii="宋体" w:hAnsi="宋体"/>
          <w:bCs/>
          <w:szCs w:val="21"/>
        </w:rPr>
        <w:t>在理财产品投资运作期间内，客户无权要求提前终止该理财产品；当相关政策出现重大调整、市场出现剧烈波动、投资标的提前到期或发生其他</w:t>
      </w:r>
      <w:r>
        <w:rPr>
          <w:rFonts w:hint="eastAsia" w:ascii="宋体" w:hAnsi="宋体"/>
          <w:szCs w:val="21"/>
        </w:rPr>
        <w:t>重庆农村商业银行</w:t>
      </w:r>
      <w:r>
        <w:rPr>
          <w:rFonts w:hint="eastAsia" w:ascii="宋体" w:hAnsi="宋体"/>
          <w:bCs/>
          <w:szCs w:val="21"/>
        </w:rPr>
        <w:t>认为需要提前终止本理财产品等情况，银行有权部分或全部提前终止该款该期理财产品。当银行决定提前终止本产品时，应至少在提前终止日前两个工作日通过营业网点及银行网站（</w:t>
      </w:r>
      <w:r>
        <w:rPr>
          <w:rFonts w:ascii="宋体" w:hAnsi="宋体" w:cs="仿宋_GB2312"/>
          <w:color w:val="000000"/>
          <w:kern w:val="0"/>
          <w:szCs w:val="21"/>
        </w:rPr>
        <w:t>www.cqrcb.com</w:t>
      </w:r>
      <w:r>
        <w:rPr>
          <w:rFonts w:hint="eastAsia" w:ascii="宋体" w:hAnsi="宋体"/>
          <w:bCs/>
          <w:szCs w:val="21"/>
        </w:rPr>
        <w:t>）进行公示。提前终止日后将客户理财资金及理财收益（如有）划入客户理财账户，划付信息以网站公告或网点公布为准。提前终止日（含当日）至资金实际到账日之间，客户资金不计息。</w:t>
      </w:r>
    </w:p>
    <w:p>
      <w:pPr>
        <w:spacing w:line="360" w:lineRule="auto"/>
        <w:ind w:firstLine="482" w:firstLineChars="200"/>
        <w:rPr>
          <w:rFonts w:ascii="宋体"/>
          <w:b/>
          <w:bCs/>
          <w:sz w:val="24"/>
        </w:rPr>
      </w:pPr>
      <w:r>
        <w:rPr>
          <w:rFonts w:hint="eastAsia" w:ascii="宋体" w:hAnsi="宋体"/>
          <w:b/>
          <w:bCs/>
          <w:sz w:val="24"/>
        </w:rPr>
        <w:t>五、信息披露</w:t>
      </w:r>
    </w:p>
    <w:p>
      <w:pPr>
        <w:spacing w:line="360" w:lineRule="auto"/>
        <w:ind w:firstLine="420" w:firstLineChars="200"/>
        <w:rPr>
          <w:rFonts w:ascii="宋体" w:cs="仿宋_GB2312"/>
          <w:color w:val="000000"/>
          <w:kern w:val="0"/>
          <w:szCs w:val="21"/>
        </w:rPr>
      </w:pPr>
      <w:r>
        <w:rPr>
          <w:rFonts w:ascii="宋体" w:hAnsi="宋体"/>
          <w:bCs/>
          <w:szCs w:val="21"/>
        </w:rPr>
        <w:t>1.</w:t>
      </w:r>
      <w:r>
        <w:rPr>
          <w:rFonts w:hint="eastAsia" w:ascii="宋体" w:hAnsi="宋体" w:cs="仿宋_GB2312"/>
          <w:color w:val="000000"/>
          <w:kern w:val="0"/>
          <w:szCs w:val="21"/>
        </w:rPr>
        <w:t>本理财产品的公开信息披露将通过本行网站或银行认为适当的其他方式、地点进行。</w:t>
      </w:r>
      <w:r>
        <w:rPr>
          <w:rFonts w:hint="eastAsia" w:ascii="宋体" w:hAnsi="宋体"/>
          <w:szCs w:val="21"/>
        </w:rPr>
        <w:t>重庆农村商业银行</w:t>
      </w:r>
      <w:r>
        <w:rPr>
          <w:rFonts w:hint="eastAsia" w:ascii="宋体" w:hAnsi="宋体" w:cs="仿宋_GB2312"/>
          <w:color w:val="000000"/>
          <w:kern w:val="0"/>
          <w:szCs w:val="21"/>
        </w:rPr>
        <w:t>将在产品发售期公告发行产品的基本要素信息；产品成立后发布成立公告，披露产品投资资产种类及具体比例（区间）信息；产品到期后披露到期收益、产品兑付等相关信息。</w:t>
      </w:r>
      <w:r>
        <w:rPr>
          <w:rFonts w:hint="eastAsia" w:ascii="宋体" w:cs="宋体"/>
          <w:color w:val="000000"/>
          <w:kern w:val="0"/>
          <w:szCs w:val="21"/>
          <w:lang w:val="zh-CN"/>
        </w:rPr>
        <w:t>如客户对本理财计划的运作状况有任何疑问，可到银行营业网点进行咨询。</w:t>
      </w:r>
    </w:p>
    <w:p>
      <w:pPr>
        <w:spacing w:line="360" w:lineRule="auto"/>
        <w:ind w:firstLine="420" w:firstLineChars="200"/>
        <w:rPr>
          <w:rFonts w:ascii="宋体"/>
          <w:bCs/>
          <w:szCs w:val="21"/>
        </w:rPr>
      </w:pPr>
      <w:r>
        <w:rPr>
          <w:rFonts w:ascii="宋体" w:hAnsi="宋体"/>
          <w:bCs/>
          <w:szCs w:val="21"/>
        </w:rPr>
        <w:t>2.</w:t>
      </w:r>
      <w:r>
        <w:rPr>
          <w:rFonts w:hint="eastAsia" w:ascii="宋体" w:hAnsi="宋体"/>
          <w:bCs/>
          <w:szCs w:val="21"/>
        </w:rPr>
        <w:t>若发生理财产品不成立、变更募集期、延长理财期限、提前终止、收益信息变动等情况，重庆农村商业银行将按照法律法规及监管规范的要求在重庆农村商业银行网站（</w:t>
      </w:r>
      <w:r>
        <w:rPr>
          <w:rFonts w:ascii="宋体" w:hAnsi="宋体"/>
          <w:bCs/>
          <w:szCs w:val="21"/>
        </w:rPr>
        <w:t>www.cqrcb.com</w:t>
      </w:r>
      <w:r>
        <w:rPr>
          <w:rFonts w:hint="eastAsia" w:ascii="宋体" w:hAnsi="宋体"/>
          <w:bCs/>
          <w:szCs w:val="21"/>
        </w:rPr>
        <w:t>）或相关营业网点及时进行信息披露。该等披露，视为银行已向客户完全履行信息披露义务。客户承诺将及时接收、浏览和阅读该等信息。</w:t>
      </w:r>
    </w:p>
    <w:p>
      <w:pPr>
        <w:spacing w:line="360" w:lineRule="auto"/>
        <w:ind w:firstLine="420"/>
        <w:rPr>
          <w:rFonts w:ascii="宋体"/>
          <w:bCs/>
          <w:szCs w:val="21"/>
        </w:rPr>
      </w:pPr>
      <w:r>
        <w:rPr>
          <w:rFonts w:ascii="宋体" w:hAnsi="宋体"/>
          <w:bCs/>
          <w:szCs w:val="21"/>
        </w:rPr>
        <w:t>3.</w:t>
      </w:r>
      <w:r>
        <w:rPr>
          <w:rFonts w:hint="eastAsia" w:ascii="宋体" w:hAnsi="宋体"/>
          <w:bCs/>
          <w:szCs w:val="21"/>
        </w:rPr>
        <w:t>产品投资期间，重庆农村商业银行不提供相关账单。</w:t>
      </w:r>
    </w:p>
    <w:p>
      <w:pPr>
        <w:spacing w:line="360" w:lineRule="auto"/>
        <w:ind w:firstLine="420"/>
        <w:rPr>
          <w:rFonts w:ascii="宋体" w:hAnsi="宋体"/>
          <w:bCs/>
          <w:szCs w:val="21"/>
        </w:rPr>
      </w:pPr>
      <w:r>
        <w:rPr>
          <w:rFonts w:ascii="宋体" w:hAnsi="宋体"/>
          <w:bCs/>
          <w:szCs w:val="21"/>
        </w:rPr>
        <w:t>4.</w:t>
      </w:r>
      <w:r>
        <w:rPr>
          <w:rFonts w:hint="eastAsia" w:ascii="宋体" w:hAnsi="宋体"/>
          <w:bCs/>
          <w:szCs w:val="21"/>
        </w:rPr>
        <w:t>投资者有义务及时核对所收到的任何款项，以及重庆农村商业银行向投资者提供的相关信息资料是否准确。如投资者有疑义，应在付息日或在重庆农村商业银行发出相关信息资料后的</w:t>
      </w:r>
      <w:r>
        <w:rPr>
          <w:rFonts w:ascii="宋体" w:hAnsi="宋体"/>
          <w:bCs/>
          <w:szCs w:val="21"/>
        </w:rPr>
        <w:t>30</w:t>
      </w:r>
      <w:r>
        <w:rPr>
          <w:rFonts w:hint="eastAsia" w:ascii="宋体" w:hAnsi="宋体"/>
          <w:bCs/>
          <w:szCs w:val="21"/>
        </w:rPr>
        <w:t>日内提出；如投资者在前述期限内未提出的</w:t>
      </w:r>
      <w:r>
        <w:rPr>
          <w:rFonts w:ascii="宋体"/>
          <w:bCs/>
          <w:szCs w:val="21"/>
        </w:rPr>
        <w:t>,</w:t>
      </w:r>
      <w:r>
        <w:rPr>
          <w:rFonts w:hint="eastAsia" w:ascii="宋体" w:hAnsi="宋体"/>
          <w:bCs/>
          <w:szCs w:val="21"/>
        </w:rPr>
        <w:t>视为投资者无疑义。但除非存在明显的计算错误，本产品的款项以重庆农村商业银行记载为准。</w:t>
      </w:r>
    </w:p>
    <w:p>
      <w:pPr>
        <w:spacing w:line="360" w:lineRule="auto"/>
        <w:ind w:firstLine="420"/>
        <w:rPr>
          <w:rFonts w:ascii="宋体" w:hAnsi="宋体"/>
          <w:bCs/>
        </w:rPr>
      </w:pPr>
      <w:r>
        <w:rPr>
          <w:rFonts w:hint="eastAsia" w:ascii="宋体" w:hAnsi="宋体"/>
          <w:bCs/>
        </w:rPr>
        <w:t xml:space="preserve">5. </w:t>
      </w:r>
      <w:r>
        <w:rPr>
          <w:rFonts w:hint="eastAsia" w:ascii="宋体" w:hAnsi="宋体" w:cs="宋体"/>
        </w:rPr>
        <w:t>重庆农村商业</w:t>
      </w:r>
      <w:r>
        <w:rPr>
          <w:rFonts w:ascii="宋体" w:hAnsi="宋体" w:cs="宋体"/>
        </w:rPr>
        <w:t>银行应当依法履行投资者信息保密义务，建立投资者信息管理制度和保密制度，防范投资者信息被不当采集、使用、传输和泄露。除法律法规另有规定或有权机关另有要求外，未经</w:t>
      </w:r>
      <w:r>
        <w:rPr>
          <w:rFonts w:hint="eastAsia" w:ascii="宋体" w:hAnsi="宋体" w:cs="宋体"/>
        </w:rPr>
        <w:t>投资者</w:t>
      </w:r>
      <w:r>
        <w:rPr>
          <w:rFonts w:ascii="宋体" w:hAnsi="宋体" w:cs="宋体"/>
        </w:rPr>
        <w:t>书面许可，</w:t>
      </w:r>
      <w:r>
        <w:rPr>
          <w:rFonts w:hint="eastAsia" w:ascii="宋体" w:hAnsi="宋体" w:cs="宋体"/>
        </w:rPr>
        <w:t>重庆农村商业银行</w:t>
      </w:r>
      <w:r>
        <w:rPr>
          <w:rFonts w:ascii="宋体" w:hAnsi="宋体" w:cs="宋体"/>
        </w:rPr>
        <w:t>不得向任何组织、个人提供或泄露与</w:t>
      </w:r>
      <w:r>
        <w:rPr>
          <w:rFonts w:hint="eastAsia" w:ascii="宋体" w:hAnsi="宋体" w:cs="宋体"/>
        </w:rPr>
        <w:t>投资者</w:t>
      </w:r>
      <w:r>
        <w:rPr>
          <w:rFonts w:ascii="宋体" w:hAnsi="宋体" w:cs="宋体"/>
        </w:rPr>
        <w:t>有关的业务资料及信息</w:t>
      </w:r>
      <w:r>
        <w:rPr>
          <w:rFonts w:hint="eastAsia" w:ascii="宋体" w:hAnsi="宋体"/>
          <w:bCs/>
        </w:rPr>
        <w:t>。</w:t>
      </w:r>
    </w:p>
    <w:p>
      <w:pPr>
        <w:spacing w:line="360" w:lineRule="auto"/>
        <w:ind w:firstLine="420"/>
        <w:rPr>
          <w:rFonts w:ascii="宋体" w:cs="宋体"/>
        </w:rPr>
      </w:pPr>
      <w:r>
        <w:rPr>
          <w:rFonts w:hint="eastAsia" w:ascii="宋体" w:cs="宋体"/>
        </w:rPr>
        <w:t>6</w:t>
      </w:r>
      <w:r>
        <w:rPr>
          <w:rFonts w:ascii="宋体" w:cs="宋体"/>
        </w:rPr>
        <w:t>.</w:t>
      </w:r>
      <w:r>
        <w:rPr>
          <w:rFonts w:hint="eastAsia" w:ascii="宋体" w:cs="宋体"/>
        </w:rPr>
        <w:t>重庆农村商业银行统一社会信用代码：</w:t>
      </w:r>
      <w:r>
        <w:rPr>
          <w:rFonts w:ascii="宋体" w:cs="宋体"/>
        </w:rPr>
        <w:t>91500000676129728J</w:t>
      </w:r>
      <w:r>
        <w:rPr>
          <w:rFonts w:hint="eastAsia" w:ascii="宋体" w:hAnsi="宋体" w:cs="仿宋_GB2312"/>
          <w:color w:val="000000"/>
          <w:kern w:val="0"/>
        </w:rPr>
        <w:t>；</w:t>
      </w:r>
      <w:r>
        <w:rPr>
          <w:rFonts w:hint="eastAsia" w:ascii="宋体" w:hAnsi="宋体" w:cs="宋体"/>
        </w:rPr>
        <w:t>重庆农村商业银行金融机构代码：</w:t>
      </w:r>
      <w:r>
        <w:rPr>
          <w:rFonts w:ascii="宋体" w:cs="宋体"/>
        </w:rPr>
        <w:t>B0335H250000001</w:t>
      </w:r>
      <w:r>
        <w:rPr>
          <w:rFonts w:hint="eastAsia" w:ascii="宋体" w:cs="宋体"/>
        </w:rPr>
        <w:t>。</w:t>
      </w:r>
    </w:p>
    <w:p>
      <w:pPr>
        <w:spacing w:line="360" w:lineRule="auto"/>
        <w:ind w:firstLine="420"/>
        <w:rPr>
          <w:rFonts w:ascii="宋体" w:hAnsi="宋体"/>
          <w:bCs/>
          <w:szCs w:val="21"/>
        </w:rPr>
      </w:pPr>
      <w:r>
        <w:rPr>
          <w:rFonts w:hint="eastAsia" w:ascii="宋体" w:cs="宋体"/>
        </w:rPr>
        <w:t>7.全国服务热线: 95389。</w:t>
      </w:r>
    </w:p>
    <w:p>
      <w:pPr>
        <w:spacing w:line="360" w:lineRule="auto"/>
        <w:ind w:firstLine="420"/>
        <w:rPr>
          <w:rFonts w:ascii="宋体"/>
          <w:bCs/>
          <w:szCs w:val="21"/>
        </w:rPr>
      </w:pPr>
    </w:p>
    <w:p>
      <w:pPr>
        <w:spacing w:line="288" w:lineRule="auto"/>
        <w:ind w:firstLine="5565" w:firstLineChars="2650"/>
        <w:rPr>
          <w:kern w:val="0"/>
        </w:rPr>
      </w:pPr>
    </w:p>
    <w:p>
      <w:pPr>
        <w:spacing w:line="288" w:lineRule="auto"/>
        <w:ind w:firstLine="5565" w:firstLineChars="2650"/>
        <w:rPr>
          <w:kern w:val="0"/>
        </w:rPr>
      </w:pPr>
      <w:r>
        <w:rPr>
          <w:rFonts w:hint="eastAsia"/>
          <w:kern w:val="0"/>
        </w:rPr>
        <w:t>客户签字/盖章：</w:t>
      </w:r>
    </w:p>
    <w:p>
      <w:pPr>
        <w:spacing w:line="288" w:lineRule="auto"/>
        <w:ind w:firstLine="5565" w:firstLineChars="2650"/>
        <w:rPr>
          <w:kern w:val="0"/>
        </w:rPr>
      </w:pPr>
      <w:r>
        <w:rPr>
          <w:rFonts w:hint="eastAsia"/>
          <w:kern w:val="0"/>
        </w:rPr>
        <w:t>年    月    日</w:t>
      </w: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AC01F57"/>
    <w:multiLevelType w:val="multilevel"/>
    <w:tmpl w:val="6AC01F57"/>
    <w:lvl w:ilvl="0" w:tentative="0">
      <w:start w:val="1"/>
      <w:numFmt w:val="japaneseCounting"/>
      <w:lvlText w:val="%1、"/>
      <w:lvlJc w:val="left"/>
      <w:pPr>
        <w:tabs>
          <w:tab w:val="left" w:pos="420"/>
        </w:tabs>
        <w:ind w:left="420" w:hanging="420"/>
      </w:pPr>
      <w:rPr>
        <w:rFonts w:hint="default" w:cs="Times New Roman"/>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5"/>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6A1A"/>
    <w:rsid w:val="0000283B"/>
    <w:rsid w:val="0000390A"/>
    <w:rsid w:val="00004F52"/>
    <w:rsid w:val="00005C99"/>
    <w:rsid w:val="0000732D"/>
    <w:rsid w:val="00012C2C"/>
    <w:rsid w:val="000130E1"/>
    <w:rsid w:val="00013E32"/>
    <w:rsid w:val="00014574"/>
    <w:rsid w:val="0001463D"/>
    <w:rsid w:val="00014B79"/>
    <w:rsid w:val="000157AD"/>
    <w:rsid w:val="00015D7D"/>
    <w:rsid w:val="0001612D"/>
    <w:rsid w:val="000235EC"/>
    <w:rsid w:val="00024207"/>
    <w:rsid w:val="000256B9"/>
    <w:rsid w:val="00027971"/>
    <w:rsid w:val="0003025E"/>
    <w:rsid w:val="00031851"/>
    <w:rsid w:val="00032694"/>
    <w:rsid w:val="000336A1"/>
    <w:rsid w:val="00033CF3"/>
    <w:rsid w:val="0003484F"/>
    <w:rsid w:val="00034FB1"/>
    <w:rsid w:val="0003570A"/>
    <w:rsid w:val="00036FC9"/>
    <w:rsid w:val="0003757B"/>
    <w:rsid w:val="0004178C"/>
    <w:rsid w:val="00043398"/>
    <w:rsid w:val="00046E71"/>
    <w:rsid w:val="000504E6"/>
    <w:rsid w:val="00050665"/>
    <w:rsid w:val="000509BA"/>
    <w:rsid w:val="000511B4"/>
    <w:rsid w:val="000536A7"/>
    <w:rsid w:val="000555B2"/>
    <w:rsid w:val="0005637A"/>
    <w:rsid w:val="00056DA1"/>
    <w:rsid w:val="00060655"/>
    <w:rsid w:val="0006136C"/>
    <w:rsid w:val="000615FF"/>
    <w:rsid w:val="00063843"/>
    <w:rsid w:val="00064867"/>
    <w:rsid w:val="00065CC4"/>
    <w:rsid w:val="000662F5"/>
    <w:rsid w:val="00071565"/>
    <w:rsid w:val="000724E4"/>
    <w:rsid w:val="000726A1"/>
    <w:rsid w:val="00073941"/>
    <w:rsid w:val="000745D0"/>
    <w:rsid w:val="0008190C"/>
    <w:rsid w:val="00084F44"/>
    <w:rsid w:val="00086FA0"/>
    <w:rsid w:val="0008706A"/>
    <w:rsid w:val="00090B43"/>
    <w:rsid w:val="00091EFB"/>
    <w:rsid w:val="00094F85"/>
    <w:rsid w:val="0009538D"/>
    <w:rsid w:val="00095A24"/>
    <w:rsid w:val="000966A4"/>
    <w:rsid w:val="000A1C61"/>
    <w:rsid w:val="000A1DC9"/>
    <w:rsid w:val="000A2F28"/>
    <w:rsid w:val="000A62DB"/>
    <w:rsid w:val="000B067C"/>
    <w:rsid w:val="000B0B3E"/>
    <w:rsid w:val="000B27F9"/>
    <w:rsid w:val="000B289E"/>
    <w:rsid w:val="000B2EC9"/>
    <w:rsid w:val="000C135F"/>
    <w:rsid w:val="000C218F"/>
    <w:rsid w:val="000C2524"/>
    <w:rsid w:val="000C323E"/>
    <w:rsid w:val="000C6DB1"/>
    <w:rsid w:val="000D1CC7"/>
    <w:rsid w:val="000D23D7"/>
    <w:rsid w:val="000D3FC9"/>
    <w:rsid w:val="000D4B15"/>
    <w:rsid w:val="000D4C70"/>
    <w:rsid w:val="000D4CEC"/>
    <w:rsid w:val="000D73BE"/>
    <w:rsid w:val="000D78D1"/>
    <w:rsid w:val="000D7E0C"/>
    <w:rsid w:val="000E380F"/>
    <w:rsid w:val="000E41BA"/>
    <w:rsid w:val="000E60A6"/>
    <w:rsid w:val="000F0DC3"/>
    <w:rsid w:val="000F2A25"/>
    <w:rsid w:val="000F2D18"/>
    <w:rsid w:val="000F6831"/>
    <w:rsid w:val="000F73CB"/>
    <w:rsid w:val="00100C4F"/>
    <w:rsid w:val="001019A8"/>
    <w:rsid w:val="0010616E"/>
    <w:rsid w:val="00106DBF"/>
    <w:rsid w:val="00107273"/>
    <w:rsid w:val="00110F79"/>
    <w:rsid w:val="0011163E"/>
    <w:rsid w:val="00115D73"/>
    <w:rsid w:val="00116110"/>
    <w:rsid w:val="0011646B"/>
    <w:rsid w:val="001177C8"/>
    <w:rsid w:val="00120E19"/>
    <w:rsid w:val="001212EF"/>
    <w:rsid w:val="00124262"/>
    <w:rsid w:val="00125638"/>
    <w:rsid w:val="00130F3B"/>
    <w:rsid w:val="00131B95"/>
    <w:rsid w:val="00131C5B"/>
    <w:rsid w:val="00131E74"/>
    <w:rsid w:val="001343DC"/>
    <w:rsid w:val="0013725B"/>
    <w:rsid w:val="00137BDB"/>
    <w:rsid w:val="00137EAE"/>
    <w:rsid w:val="00140989"/>
    <w:rsid w:val="00143305"/>
    <w:rsid w:val="00146989"/>
    <w:rsid w:val="00154EF2"/>
    <w:rsid w:val="00156498"/>
    <w:rsid w:val="00160880"/>
    <w:rsid w:val="0016223F"/>
    <w:rsid w:val="0016268C"/>
    <w:rsid w:val="00163034"/>
    <w:rsid w:val="0016542F"/>
    <w:rsid w:val="00166356"/>
    <w:rsid w:val="001738C0"/>
    <w:rsid w:val="00173A25"/>
    <w:rsid w:val="00173E56"/>
    <w:rsid w:val="001743D4"/>
    <w:rsid w:val="00174BC4"/>
    <w:rsid w:val="001752D1"/>
    <w:rsid w:val="00176A4C"/>
    <w:rsid w:val="00180339"/>
    <w:rsid w:val="00182A8E"/>
    <w:rsid w:val="00182C3D"/>
    <w:rsid w:val="00183403"/>
    <w:rsid w:val="00183B99"/>
    <w:rsid w:val="001857B1"/>
    <w:rsid w:val="00185C50"/>
    <w:rsid w:val="0018654C"/>
    <w:rsid w:val="0018661E"/>
    <w:rsid w:val="00187B86"/>
    <w:rsid w:val="00192D17"/>
    <w:rsid w:val="00194F40"/>
    <w:rsid w:val="001978FC"/>
    <w:rsid w:val="00197DC2"/>
    <w:rsid w:val="001A0E08"/>
    <w:rsid w:val="001A1620"/>
    <w:rsid w:val="001A1695"/>
    <w:rsid w:val="001A170D"/>
    <w:rsid w:val="001A1751"/>
    <w:rsid w:val="001A1958"/>
    <w:rsid w:val="001A1A6C"/>
    <w:rsid w:val="001A50CE"/>
    <w:rsid w:val="001A560E"/>
    <w:rsid w:val="001A5D24"/>
    <w:rsid w:val="001A5D2F"/>
    <w:rsid w:val="001A6503"/>
    <w:rsid w:val="001A6B01"/>
    <w:rsid w:val="001A724D"/>
    <w:rsid w:val="001B0CB0"/>
    <w:rsid w:val="001B1D81"/>
    <w:rsid w:val="001B2F54"/>
    <w:rsid w:val="001B4D4B"/>
    <w:rsid w:val="001C0A84"/>
    <w:rsid w:val="001C1C76"/>
    <w:rsid w:val="001C6860"/>
    <w:rsid w:val="001C73EE"/>
    <w:rsid w:val="001D03EF"/>
    <w:rsid w:val="001D0F0B"/>
    <w:rsid w:val="001D2F63"/>
    <w:rsid w:val="001D4A00"/>
    <w:rsid w:val="001D66E0"/>
    <w:rsid w:val="001D7D4D"/>
    <w:rsid w:val="001E0BDE"/>
    <w:rsid w:val="001E0FBD"/>
    <w:rsid w:val="001E1ABE"/>
    <w:rsid w:val="001E1B1A"/>
    <w:rsid w:val="001E1C64"/>
    <w:rsid w:val="001E407E"/>
    <w:rsid w:val="001E4C2C"/>
    <w:rsid w:val="001E5D9B"/>
    <w:rsid w:val="001E5FE1"/>
    <w:rsid w:val="001F0F86"/>
    <w:rsid w:val="001F1BD1"/>
    <w:rsid w:val="001F3D40"/>
    <w:rsid w:val="001F47F8"/>
    <w:rsid w:val="001F5CFB"/>
    <w:rsid w:val="001F6BCA"/>
    <w:rsid w:val="0020269A"/>
    <w:rsid w:val="00202AFE"/>
    <w:rsid w:val="0020320E"/>
    <w:rsid w:val="00203F75"/>
    <w:rsid w:val="0020426A"/>
    <w:rsid w:val="00204943"/>
    <w:rsid w:val="0020566B"/>
    <w:rsid w:val="00206237"/>
    <w:rsid w:val="0020669C"/>
    <w:rsid w:val="0021176C"/>
    <w:rsid w:val="00211D59"/>
    <w:rsid w:val="0021464B"/>
    <w:rsid w:val="0021503A"/>
    <w:rsid w:val="00215D26"/>
    <w:rsid w:val="00216074"/>
    <w:rsid w:val="00216243"/>
    <w:rsid w:val="0021667C"/>
    <w:rsid w:val="00216BE2"/>
    <w:rsid w:val="00216E6F"/>
    <w:rsid w:val="002171A8"/>
    <w:rsid w:val="00220393"/>
    <w:rsid w:val="00220B78"/>
    <w:rsid w:val="00221F5C"/>
    <w:rsid w:val="00224A5F"/>
    <w:rsid w:val="002266A9"/>
    <w:rsid w:val="00226E59"/>
    <w:rsid w:val="00227941"/>
    <w:rsid w:val="00230C97"/>
    <w:rsid w:val="00232264"/>
    <w:rsid w:val="00233162"/>
    <w:rsid w:val="00233484"/>
    <w:rsid w:val="0023799A"/>
    <w:rsid w:val="00241331"/>
    <w:rsid w:val="00241CC8"/>
    <w:rsid w:val="0024651D"/>
    <w:rsid w:val="00246D87"/>
    <w:rsid w:val="00247F02"/>
    <w:rsid w:val="00253A37"/>
    <w:rsid w:val="00254D28"/>
    <w:rsid w:val="00256AC3"/>
    <w:rsid w:val="00256F7C"/>
    <w:rsid w:val="00257006"/>
    <w:rsid w:val="00262709"/>
    <w:rsid w:val="00263A04"/>
    <w:rsid w:val="00263B1C"/>
    <w:rsid w:val="00263B23"/>
    <w:rsid w:val="002708A2"/>
    <w:rsid w:val="00271015"/>
    <w:rsid w:val="002742DE"/>
    <w:rsid w:val="002743D8"/>
    <w:rsid w:val="00274623"/>
    <w:rsid w:val="00274FF0"/>
    <w:rsid w:val="0027724F"/>
    <w:rsid w:val="0027767F"/>
    <w:rsid w:val="00280F99"/>
    <w:rsid w:val="00281BA9"/>
    <w:rsid w:val="00285660"/>
    <w:rsid w:val="00285ADD"/>
    <w:rsid w:val="00286B05"/>
    <w:rsid w:val="00286CB4"/>
    <w:rsid w:val="00291785"/>
    <w:rsid w:val="00291BDA"/>
    <w:rsid w:val="00292FF6"/>
    <w:rsid w:val="00295063"/>
    <w:rsid w:val="00296BC7"/>
    <w:rsid w:val="00297E05"/>
    <w:rsid w:val="002A055D"/>
    <w:rsid w:val="002A0706"/>
    <w:rsid w:val="002A1091"/>
    <w:rsid w:val="002A34B9"/>
    <w:rsid w:val="002A3F8E"/>
    <w:rsid w:val="002A5CC3"/>
    <w:rsid w:val="002A6AA0"/>
    <w:rsid w:val="002A751A"/>
    <w:rsid w:val="002A7679"/>
    <w:rsid w:val="002A7BE1"/>
    <w:rsid w:val="002B04C4"/>
    <w:rsid w:val="002B1E8C"/>
    <w:rsid w:val="002B410A"/>
    <w:rsid w:val="002B428A"/>
    <w:rsid w:val="002B5483"/>
    <w:rsid w:val="002B6A6F"/>
    <w:rsid w:val="002C004C"/>
    <w:rsid w:val="002C01DD"/>
    <w:rsid w:val="002C03C8"/>
    <w:rsid w:val="002C0970"/>
    <w:rsid w:val="002C2186"/>
    <w:rsid w:val="002C233C"/>
    <w:rsid w:val="002C4F75"/>
    <w:rsid w:val="002C53C2"/>
    <w:rsid w:val="002C6D14"/>
    <w:rsid w:val="002D05DE"/>
    <w:rsid w:val="002D0CE5"/>
    <w:rsid w:val="002D26E4"/>
    <w:rsid w:val="002D7F8D"/>
    <w:rsid w:val="002E0878"/>
    <w:rsid w:val="002E559D"/>
    <w:rsid w:val="002E67E6"/>
    <w:rsid w:val="002F3F0C"/>
    <w:rsid w:val="002F6546"/>
    <w:rsid w:val="0030161D"/>
    <w:rsid w:val="003035EF"/>
    <w:rsid w:val="003041F2"/>
    <w:rsid w:val="003054D1"/>
    <w:rsid w:val="003060DE"/>
    <w:rsid w:val="00310F90"/>
    <w:rsid w:val="00310F91"/>
    <w:rsid w:val="0031263B"/>
    <w:rsid w:val="00316529"/>
    <w:rsid w:val="003171E1"/>
    <w:rsid w:val="0032255D"/>
    <w:rsid w:val="003229C7"/>
    <w:rsid w:val="00333849"/>
    <w:rsid w:val="00335CAC"/>
    <w:rsid w:val="003379FB"/>
    <w:rsid w:val="00337AB7"/>
    <w:rsid w:val="00341383"/>
    <w:rsid w:val="00343796"/>
    <w:rsid w:val="00345938"/>
    <w:rsid w:val="003464BB"/>
    <w:rsid w:val="00350534"/>
    <w:rsid w:val="003542FA"/>
    <w:rsid w:val="00354346"/>
    <w:rsid w:val="00354DAF"/>
    <w:rsid w:val="00362822"/>
    <w:rsid w:val="0036455D"/>
    <w:rsid w:val="003649C9"/>
    <w:rsid w:val="00365B06"/>
    <w:rsid w:val="00365C8A"/>
    <w:rsid w:val="00365D5E"/>
    <w:rsid w:val="0037018F"/>
    <w:rsid w:val="003705D4"/>
    <w:rsid w:val="00370F1E"/>
    <w:rsid w:val="00371D38"/>
    <w:rsid w:val="00373544"/>
    <w:rsid w:val="00374F85"/>
    <w:rsid w:val="0037697C"/>
    <w:rsid w:val="00377003"/>
    <w:rsid w:val="00377FF6"/>
    <w:rsid w:val="00380B1C"/>
    <w:rsid w:val="00380CE7"/>
    <w:rsid w:val="003833AF"/>
    <w:rsid w:val="0038468D"/>
    <w:rsid w:val="00385741"/>
    <w:rsid w:val="00386C24"/>
    <w:rsid w:val="00387212"/>
    <w:rsid w:val="003926F9"/>
    <w:rsid w:val="00393101"/>
    <w:rsid w:val="003965EA"/>
    <w:rsid w:val="00396F39"/>
    <w:rsid w:val="00397370"/>
    <w:rsid w:val="00397D9B"/>
    <w:rsid w:val="003A3612"/>
    <w:rsid w:val="003A39AE"/>
    <w:rsid w:val="003A3CB0"/>
    <w:rsid w:val="003A7D5D"/>
    <w:rsid w:val="003B25E2"/>
    <w:rsid w:val="003B2E17"/>
    <w:rsid w:val="003B2EF8"/>
    <w:rsid w:val="003B2F98"/>
    <w:rsid w:val="003B538B"/>
    <w:rsid w:val="003B62FF"/>
    <w:rsid w:val="003C08A2"/>
    <w:rsid w:val="003C19FE"/>
    <w:rsid w:val="003C1A52"/>
    <w:rsid w:val="003C1E57"/>
    <w:rsid w:val="003C39FC"/>
    <w:rsid w:val="003C4603"/>
    <w:rsid w:val="003C48F6"/>
    <w:rsid w:val="003C598D"/>
    <w:rsid w:val="003C7231"/>
    <w:rsid w:val="003C7C21"/>
    <w:rsid w:val="003D0F6A"/>
    <w:rsid w:val="003D35A6"/>
    <w:rsid w:val="003D38CB"/>
    <w:rsid w:val="003D4F31"/>
    <w:rsid w:val="003D5741"/>
    <w:rsid w:val="003E12D7"/>
    <w:rsid w:val="003E1A23"/>
    <w:rsid w:val="003E307E"/>
    <w:rsid w:val="003E477D"/>
    <w:rsid w:val="003E5C5A"/>
    <w:rsid w:val="003E6910"/>
    <w:rsid w:val="003F439C"/>
    <w:rsid w:val="003F5820"/>
    <w:rsid w:val="003F6AA0"/>
    <w:rsid w:val="003F732A"/>
    <w:rsid w:val="00402A04"/>
    <w:rsid w:val="004030AA"/>
    <w:rsid w:val="004041B5"/>
    <w:rsid w:val="004058F6"/>
    <w:rsid w:val="004060FC"/>
    <w:rsid w:val="00406803"/>
    <w:rsid w:val="00406A29"/>
    <w:rsid w:val="00407E21"/>
    <w:rsid w:val="00411A19"/>
    <w:rsid w:val="00412819"/>
    <w:rsid w:val="00414689"/>
    <w:rsid w:val="00414D96"/>
    <w:rsid w:val="004154CE"/>
    <w:rsid w:val="004157C5"/>
    <w:rsid w:val="00415C0A"/>
    <w:rsid w:val="0041665B"/>
    <w:rsid w:val="00417A18"/>
    <w:rsid w:val="00421737"/>
    <w:rsid w:val="00425D51"/>
    <w:rsid w:val="0043008D"/>
    <w:rsid w:val="00432886"/>
    <w:rsid w:val="00433428"/>
    <w:rsid w:val="00434548"/>
    <w:rsid w:val="00443AD1"/>
    <w:rsid w:val="0044660F"/>
    <w:rsid w:val="00447289"/>
    <w:rsid w:val="00455A4E"/>
    <w:rsid w:val="00460818"/>
    <w:rsid w:val="00462E69"/>
    <w:rsid w:val="00465C64"/>
    <w:rsid w:val="004676CF"/>
    <w:rsid w:val="00470709"/>
    <w:rsid w:val="00471820"/>
    <w:rsid w:val="00472007"/>
    <w:rsid w:val="00472570"/>
    <w:rsid w:val="00474EED"/>
    <w:rsid w:val="00476D94"/>
    <w:rsid w:val="00484629"/>
    <w:rsid w:val="004863DC"/>
    <w:rsid w:val="00487A2D"/>
    <w:rsid w:val="00490222"/>
    <w:rsid w:val="00490A4F"/>
    <w:rsid w:val="00491F64"/>
    <w:rsid w:val="0049235F"/>
    <w:rsid w:val="004931C2"/>
    <w:rsid w:val="00494873"/>
    <w:rsid w:val="00496497"/>
    <w:rsid w:val="00496C40"/>
    <w:rsid w:val="00497C0B"/>
    <w:rsid w:val="004A0619"/>
    <w:rsid w:val="004A3158"/>
    <w:rsid w:val="004A3C92"/>
    <w:rsid w:val="004A51BF"/>
    <w:rsid w:val="004A5644"/>
    <w:rsid w:val="004A65A1"/>
    <w:rsid w:val="004A69FB"/>
    <w:rsid w:val="004B34E3"/>
    <w:rsid w:val="004B5040"/>
    <w:rsid w:val="004B532D"/>
    <w:rsid w:val="004B6633"/>
    <w:rsid w:val="004B7DF3"/>
    <w:rsid w:val="004C0B52"/>
    <w:rsid w:val="004C52B7"/>
    <w:rsid w:val="004D2700"/>
    <w:rsid w:val="004D3943"/>
    <w:rsid w:val="004D43FE"/>
    <w:rsid w:val="004D46AD"/>
    <w:rsid w:val="004D7ADF"/>
    <w:rsid w:val="004E3110"/>
    <w:rsid w:val="004E547F"/>
    <w:rsid w:val="004E58CA"/>
    <w:rsid w:val="004E654F"/>
    <w:rsid w:val="004F21B4"/>
    <w:rsid w:val="004F6771"/>
    <w:rsid w:val="004F70B1"/>
    <w:rsid w:val="00501FE1"/>
    <w:rsid w:val="0050246F"/>
    <w:rsid w:val="0050464A"/>
    <w:rsid w:val="00505413"/>
    <w:rsid w:val="00507C3A"/>
    <w:rsid w:val="00512ADB"/>
    <w:rsid w:val="00512B49"/>
    <w:rsid w:val="005131B1"/>
    <w:rsid w:val="005141F0"/>
    <w:rsid w:val="00514BCF"/>
    <w:rsid w:val="005172C6"/>
    <w:rsid w:val="00521DCF"/>
    <w:rsid w:val="00522CED"/>
    <w:rsid w:val="0053321D"/>
    <w:rsid w:val="005373BB"/>
    <w:rsid w:val="00537403"/>
    <w:rsid w:val="00537D2D"/>
    <w:rsid w:val="00543A82"/>
    <w:rsid w:val="00552E0F"/>
    <w:rsid w:val="0055702E"/>
    <w:rsid w:val="0056112C"/>
    <w:rsid w:val="0056157E"/>
    <w:rsid w:val="005645E6"/>
    <w:rsid w:val="00566FE2"/>
    <w:rsid w:val="005678FD"/>
    <w:rsid w:val="005705E0"/>
    <w:rsid w:val="00571965"/>
    <w:rsid w:val="005759C5"/>
    <w:rsid w:val="0057602E"/>
    <w:rsid w:val="005761A8"/>
    <w:rsid w:val="005804FE"/>
    <w:rsid w:val="00580782"/>
    <w:rsid w:val="00584F3B"/>
    <w:rsid w:val="00586B38"/>
    <w:rsid w:val="00587A14"/>
    <w:rsid w:val="00591D42"/>
    <w:rsid w:val="0059453D"/>
    <w:rsid w:val="00594DC9"/>
    <w:rsid w:val="0059653B"/>
    <w:rsid w:val="0059662A"/>
    <w:rsid w:val="00596ECD"/>
    <w:rsid w:val="00597F12"/>
    <w:rsid w:val="005A0280"/>
    <w:rsid w:val="005A3574"/>
    <w:rsid w:val="005A4A30"/>
    <w:rsid w:val="005A59CA"/>
    <w:rsid w:val="005A6255"/>
    <w:rsid w:val="005A636C"/>
    <w:rsid w:val="005B1240"/>
    <w:rsid w:val="005B588C"/>
    <w:rsid w:val="005B7AC2"/>
    <w:rsid w:val="005C1215"/>
    <w:rsid w:val="005C2C9B"/>
    <w:rsid w:val="005C2DFC"/>
    <w:rsid w:val="005C2E76"/>
    <w:rsid w:val="005C3E38"/>
    <w:rsid w:val="005C476E"/>
    <w:rsid w:val="005C5221"/>
    <w:rsid w:val="005C7F2A"/>
    <w:rsid w:val="005D06A0"/>
    <w:rsid w:val="005D0995"/>
    <w:rsid w:val="005D7466"/>
    <w:rsid w:val="005D7C2B"/>
    <w:rsid w:val="005E2F9C"/>
    <w:rsid w:val="005E5753"/>
    <w:rsid w:val="005E7BE5"/>
    <w:rsid w:val="005F1A00"/>
    <w:rsid w:val="005F23F3"/>
    <w:rsid w:val="005F4179"/>
    <w:rsid w:val="005F47A0"/>
    <w:rsid w:val="00601CFA"/>
    <w:rsid w:val="0060269B"/>
    <w:rsid w:val="0060289B"/>
    <w:rsid w:val="00605F20"/>
    <w:rsid w:val="00607132"/>
    <w:rsid w:val="006114C5"/>
    <w:rsid w:val="00611F0A"/>
    <w:rsid w:val="00612D0B"/>
    <w:rsid w:val="00614155"/>
    <w:rsid w:val="00620251"/>
    <w:rsid w:val="006203FA"/>
    <w:rsid w:val="006205ED"/>
    <w:rsid w:val="00627C88"/>
    <w:rsid w:val="00631D45"/>
    <w:rsid w:val="00631F01"/>
    <w:rsid w:val="00632217"/>
    <w:rsid w:val="006333B9"/>
    <w:rsid w:val="00634ADB"/>
    <w:rsid w:val="00635510"/>
    <w:rsid w:val="00637798"/>
    <w:rsid w:val="006377A4"/>
    <w:rsid w:val="00637844"/>
    <w:rsid w:val="00642D37"/>
    <w:rsid w:val="006444E4"/>
    <w:rsid w:val="00647E6D"/>
    <w:rsid w:val="0065287C"/>
    <w:rsid w:val="006577E2"/>
    <w:rsid w:val="00660D44"/>
    <w:rsid w:val="00661441"/>
    <w:rsid w:val="00661937"/>
    <w:rsid w:val="00663108"/>
    <w:rsid w:val="00667549"/>
    <w:rsid w:val="00667CD8"/>
    <w:rsid w:val="00674607"/>
    <w:rsid w:val="00675822"/>
    <w:rsid w:val="006771D2"/>
    <w:rsid w:val="00677F7F"/>
    <w:rsid w:val="00681C8F"/>
    <w:rsid w:val="006821DC"/>
    <w:rsid w:val="0068410C"/>
    <w:rsid w:val="006866B5"/>
    <w:rsid w:val="00687E43"/>
    <w:rsid w:val="00692AE9"/>
    <w:rsid w:val="006965A3"/>
    <w:rsid w:val="0069798F"/>
    <w:rsid w:val="006A30DD"/>
    <w:rsid w:val="006A43D3"/>
    <w:rsid w:val="006A557B"/>
    <w:rsid w:val="006A5B0C"/>
    <w:rsid w:val="006A5D7F"/>
    <w:rsid w:val="006A6C22"/>
    <w:rsid w:val="006A78A7"/>
    <w:rsid w:val="006A79C4"/>
    <w:rsid w:val="006B0285"/>
    <w:rsid w:val="006B03EC"/>
    <w:rsid w:val="006B42D5"/>
    <w:rsid w:val="006B5D5A"/>
    <w:rsid w:val="006B5F15"/>
    <w:rsid w:val="006B75A3"/>
    <w:rsid w:val="006B7DB8"/>
    <w:rsid w:val="006C0250"/>
    <w:rsid w:val="006C1B1A"/>
    <w:rsid w:val="006C2851"/>
    <w:rsid w:val="006C5C34"/>
    <w:rsid w:val="006C6133"/>
    <w:rsid w:val="006C6A1E"/>
    <w:rsid w:val="006D1D25"/>
    <w:rsid w:val="006D227F"/>
    <w:rsid w:val="006D35DB"/>
    <w:rsid w:val="006D7625"/>
    <w:rsid w:val="006E06F0"/>
    <w:rsid w:val="006E1127"/>
    <w:rsid w:val="006E1914"/>
    <w:rsid w:val="006E3806"/>
    <w:rsid w:val="006E3951"/>
    <w:rsid w:val="006E5B32"/>
    <w:rsid w:val="006F38A1"/>
    <w:rsid w:val="006F4A58"/>
    <w:rsid w:val="006F568D"/>
    <w:rsid w:val="006F5CF2"/>
    <w:rsid w:val="006F5FA3"/>
    <w:rsid w:val="006F71CD"/>
    <w:rsid w:val="006F7571"/>
    <w:rsid w:val="00701B45"/>
    <w:rsid w:val="00703314"/>
    <w:rsid w:val="00703494"/>
    <w:rsid w:val="00703EE6"/>
    <w:rsid w:val="007052BF"/>
    <w:rsid w:val="0070602C"/>
    <w:rsid w:val="007072D7"/>
    <w:rsid w:val="00711F55"/>
    <w:rsid w:val="007148CC"/>
    <w:rsid w:val="007148EC"/>
    <w:rsid w:val="0071714E"/>
    <w:rsid w:val="007178BD"/>
    <w:rsid w:val="00717A47"/>
    <w:rsid w:val="00717CE1"/>
    <w:rsid w:val="00722B22"/>
    <w:rsid w:val="00723600"/>
    <w:rsid w:val="00727D31"/>
    <w:rsid w:val="00732058"/>
    <w:rsid w:val="007327B5"/>
    <w:rsid w:val="00733E6F"/>
    <w:rsid w:val="00736F10"/>
    <w:rsid w:val="007401E7"/>
    <w:rsid w:val="00742CCB"/>
    <w:rsid w:val="00745A8F"/>
    <w:rsid w:val="007471D2"/>
    <w:rsid w:val="0075115E"/>
    <w:rsid w:val="00755391"/>
    <w:rsid w:val="0075756D"/>
    <w:rsid w:val="00761025"/>
    <w:rsid w:val="007627AD"/>
    <w:rsid w:val="00770FE5"/>
    <w:rsid w:val="00774DAE"/>
    <w:rsid w:val="007767B1"/>
    <w:rsid w:val="00780843"/>
    <w:rsid w:val="00781DF8"/>
    <w:rsid w:val="00782B23"/>
    <w:rsid w:val="00785B63"/>
    <w:rsid w:val="00786EF3"/>
    <w:rsid w:val="00787B83"/>
    <w:rsid w:val="007962EE"/>
    <w:rsid w:val="00797D0A"/>
    <w:rsid w:val="007A1670"/>
    <w:rsid w:val="007A1675"/>
    <w:rsid w:val="007A25CB"/>
    <w:rsid w:val="007A3C0F"/>
    <w:rsid w:val="007A690E"/>
    <w:rsid w:val="007A7E94"/>
    <w:rsid w:val="007B0A4B"/>
    <w:rsid w:val="007B2CF3"/>
    <w:rsid w:val="007B5737"/>
    <w:rsid w:val="007B6651"/>
    <w:rsid w:val="007C01D0"/>
    <w:rsid w:val="007C0EC3"/>
    <w:rsid w:val="007C0ED9"/>
    <w:rsid w:val="007C2F91"/>
    <w:rsid w:val="007C55B1"/>
    <w:rsid w:val="007D7A3C"/>
    <w:rsid w:val="007E7D45"/>
    <w:rsid w:val="007F068F"/>
    <w:rsid w:val="007F2DB4"/>
    <w:rsid w:val="007F3E3F"/>
    <w:rsid w:val="007F45DD"/>
    <w:rsid w:val="007F5857"/>
    <w:rsid w:val="00801277"/>
    <w:rsid w:val="00801642"/>
    <w:rsid w:val="008023A0"/>
    <w:rsid w:val="00802BA0"/>
    <w:rsid w:val="008124FA"/>
    <w:rsid w:val="008139DA"/>
    <w:rsid w:val="00814876"/>
    <w:rsid w:val="00814BB0"/>
    <w:rsid w:val="008151D3"/>
    <w:rsid w:val="008152D8"/>
    <w:rsid w:val="00815D9B"/>
    <w:rsid w:val="0082101A"/>
    <w:rsid w:val="008211A4"/>
    <w:rsid w:val="00821366"/>
    <w:rsid w:val="008220CF"/>
    <w:rsid w:val="008242CB"/>
    <w:rsid w:val="00826EAA"/>
    <w:rsid w:val="00827D2D"/>
    <w:rsid w:val="00830247"/>
    <w:rsid w:val="00831DD9"/>
    <w:rsid w:val="008344CD"/>
    <w:rsid w:val="008346DD"/>
    <w:rsid w:val="008370DA"/>
    <w:rsid w:val="0083742B"/>
    <w:rsid w:val="00840A36"/>
    <w:rsid w:val="00841E60"/>
    <w:rsid w:val="00843E66"/>
    <w:rsid w:val="008455E6"/>
    <w:rsid w:val="00846A16"/>
    <w:rsid w:val="00847221"/>
    <w:rsid w:val="0084770C"/>
    <w:rsid w:val="00852575"/>
    <w:rsid w:val="008528D5"/>
    <w:rsid w:val="00852C06"/>
    <w:rsid w:val="00853EE2"/>
    <w:rsid w:val="00857270"/>
    <w:rsid w:val="00857A36"/>
    <w:rsid w:val="00861CFC"/>
    <w:rsid w:val="00866B31"/>
    <w:rsid w:val="00867525"/>
    <w:rsid w:val="00867ADF"/>
    <w:rsid w:val="00871EAA"/>
    <w:rsid w:val="0087423B"/>
    <w:rsid w:val="00874CC9"/>
    <w:rsid w:val="008817CD"/>
    <w:rsid w:val="00882496"/>
    <w:rsid w:val="0088253A"/>
    <w:rsid w:val="0088509D"/>
    <w:rsid w:val="008865F8"/>
    <w:rsid w:val="00891BBA"/>
    <w:rsid w:val="0089242F"/>
    <w:rsid w:val="00892726"/>
    <w:rsid w:val="008960DD"/>
    <w:rsid w:val="00896C16"/>
    <w:rsid w:val="0089758D"/>
    <w:rsid w:val="008A1F1B"/>
    <w:rsid w:val="008A29CA"/>
    <w:rsid w:val="008A3692"/>
    <w:rsid w:val="008A3B2B"/>
    <w:rsid w:val="008A493C"/>
    <w:rsid w:val="008B11F3"/>
    <w:rsid w:val="008B24D2"/>
    <w:rsid w:val="008B2CA7"/>
    <w:rsid w:val="008B310F"/>
    <w:rsid w:val="008B5D2B"/>
    <w:rsid w:val="008C7460"/>
    <w:rsid w:val="008C756F"/>
    <w:rsid w:val="008C7C5A"/>
    <w:rsid w:val="008D266F"/>
    <w:rsid w:val="008D2A92"/>
    <w:rsid w:val="008D6ECD"/>
    <w:rsid w:val="008E1248"/>
    <w:rsid w:val="008E1A8E"/>
    <w:rsid w:val="008E1B11"/>
    <w:rsid w:val="008E3DA4"/>
    <w:rsid w:val="008E5E1F"/>
    <w:rsid w:val="008E7D19"/>
    <w:rsid w:val="008F0F8E"/>
    <w:rsid w:val="008F1BED"/>
    <w:rsid w:val="008F27CC"/>
    <w:rsid w:val="008F3058"/>
    <w:rsid w:val="008F4EC7"/>
    <w:rsid w:val="008F6049"/>
    <w:rsid w:val="008F7514"/>
    <w:rsid w:val="00900F11"/>
    <w:rsid w:val="009057D1"/>
    <w:rsid w:val="00905D76"/>
    <w:rsid w:val="00907E6C"/>
    <w:rsid w:val="00910400"/>
    <w:rsid w:val="0091499C"/>
    <w:rsid w:val="00917A6A"/>
    <w:rsid w:val="00920C00"/>
    <w:rsid w:val="0092111B"/>
    <w:rsid w:val="00922495"/>
    <w:rsid w:val="00922E31"/>
    <w:rsid w:val="00922E77"/>
    <w:rsid w:val="00924373"/>
    <w:rsid w:val="009243BC"/>
    <w:rsid w:val="00925430"/>
    <w:rsid w:val="0092553F"/>
    <w:rsid w:val="00925881"/>
    <w:rsid w:val="00925FA1"/>
    <w:rsid w:val="00933345"/>
    <w:rsid w:val="009335E0"/>
    <w:rsid w:val="00933824"/>
    <w:rsid w:val="00935E7C"/>
    <w:rsid w:val="00937A9A"/>
    <w:rsid w:val="00937BC4"/>
    <w:rsid w:val="009425C8"/>
    <w:rsid w:val="00942F51"/>
    <w:rsid w:val="00943BFB"/>
    <w:rsid w:val="009468BA"/>
    <w:rsid w:val="0094733B"/>
    <w:rsid w:val="0095064B"/>
    <w:rsid w:val="00950EA8"/>
    <w:rsid w:val="0095299E"/>
    <w:rsid w:val="009537EA"/>
    <w:rsid w:val="00955295"/>
    <w:rsid w:val="0096159C"/>
    <w:rsid w:val="00962E84"/>
    <w:rsid w:val="00963ABD"/>
    <w:rsid w:val="009676A6"/>
    <w:rsid w:val="009731FA"/>
    <w:rsid w:val="009734FD"/>
    <w:rsid w:val="0097543B"/>
    <w:rsid w:val="00977617"/>
    <w:rsid w:val="00980143"/>
    <w:rsid w:val="00980504"/>
    <w:rsid w:val="00981B12"/>
    <w:rsid w:val="0098373B"/>
    <w:rsid w:val="00987065"/>
    <w:rsid w:val="0099002B"/>
    <w:rsid w:val="00990A1A"/>
    <w:rsid w:val="00990BAF"/>
    <w:rsid w:val="00991416"/>
    <w:rsid w:val="009915C2"/>
    <w:rsid w:val="00992FCB"/>
    <w:rsid w:val="0099438F"/>
    <w:rsid w:val="009A7E42"/>
    <w:rsid w:val="009B15A5"/>
    <w:rsid w:val="009B4B25"/>
    <w:rsid w:val="009B6327"/>
    <w:rsid w:val="009B6CED"/>
    <w:rsid w:val="009C0057"/>
    <w:rsid w:val="009C2576"/>
    <w:rsid w:val="009C38A1"/>
    <w:rsid w:val="009C3C7F"/>
    <w:rsid w:val="009C5463"/>
    <w:rsid w:val="009C6F31"/>
    <w:rsid w:val="009D0C90"/>
    <w:rsid w:val="009D48D4"/>
    <w:rsid w:val="009E1697"/>
    <w:rsid w:val="009E50C1"/>
    <w:rsid w:val="009E5618"/>
    <w:rsid w:val="009F036B"/>
    <w:rsid w:val="009F46E0"/>
    <w:rsid w:val="009F69E0"/>
    <w:rsid w:val="009F7576"/>
    <w:rsid w:val="00A01FFD"/>
    <w:rsid w:val="00A0300F"/>
    <w:rsid w:val="00A04801"/>
    <w:rsid w:val="00A04A2B"/>
    <w:rsid w:val="00A05279"/>
    <w:rsid w:val="00A05C79"/>
    <w:rsid w:val="00A06A55"/>
    <w:rsid w:val="00A07B2F"/>
    <w:rsid w:val="00A106CE"/>
    <w:rsid w:val="00A10FD0"/>
    <w:rsid w:val="00A1520F"/>
    <w:rsid w:val="00A16928"/>
    <w:rsid w:val="00A17A7A"/>
    <w:rsid w:val="00A17B42"/>
    <w:rsid w:val="00A214FA"/>
    <w:rsid w:val="00A2173F"/>
    <w:rsid w:val="00A2552B"/>
    <w:rsid w:val="00A26B1F"/>
    <w:rsid w:val="00A30B78"/>
    <w:rsid w:val="00A30F87"/>
    <w:rsid w:val="00A31186"/>
    <w:rsid w:val="00A315EE"/>
    <w:rsid w:val="00A3562F"/>
    <w:rsid w:val="00A357E4"/>
    <w:rsid w:val="00A36488"/>
    <w:rsid w:val="00A36C48"/>
    <w:rsid w:val="00A3770A"/>
    <w:rsid w:val="00A416B5"/>
    <w:rsid w:val="00A52F62"/>
    <w:rsid w:val="00A53EDD"/>
    <w:rsid w:val="00A542C9"/>
    <w:rsid w:val="00A561D9"/>
    <w:rsid w:val="00A60D2F"/>
    <w:rsid w:val="00A6308D"/>
    <w:rsid w:val="00A65ABD"/>
    <w:rsid w:val="00A66A3E"/>
    <w:rsid w:val="00A66B97"/>
    <w:rsid w:val="00A672AC"/>
    <w:rsid w:val="00A7086E"/>
    <w:rsid w:val="00A7160C"/>
    <w:rsid w:val="00A73E25"/>
    <w:rsid w:val="00A75AD4"/>
    <w:rsid w:val="00A76D63"/>
    <w:rsid w:val="00A776EC"/>
    <w:rsid w:val="00A81042"/>
    <w:rsid w:val="00A83902"/>
    <w:rsid w:val="00A85A0F"/>
    <w:rsid w:val="00A924E8"/>
    <w:rsid w:val="00A92580"/>
    <w:rsid w:val="00A92692"/>
    <w:rsid w:val="00A92DF0"/>
    <w:rsid w:val="00A9353C"/>
    <w:rsid w:val="00A95F5E"/>
    <w:rsid w:val="00A9797F"/>
    <w:rsid w:val="00AA0F5F"/>
    <w:rsid w:val="00AA12AC"/>
    <w:rsid w:val="00AA1EC0"/>
    <w:rsid w:val="00AA335E"/>
    <w:rsid w:val="00AA34E3"/>
    <w:rsid w:val="00AA480E"/>
    <w:rsid w:val="00AA6370"/>
    <w:rsid w:val="00AB0229"/>
    <w:rsid w:val="00AB065C"/>
    <w:rsid w:val="00AB11CA"/>
    <w:rsid w:val="00AB1B99"/>
    <w:rsid w:val="00AB2CF5"/>
    <w:rsid w:val="00AB6171"/>
    <w:rsid w:val="00AC20ED"/>
    <w:rsid w:val="00AC2638"/>
    <w:rsid w:val="00AC2B6C"/>
    <w:rsid w:val="00AC3254"/>
    <w:rsid w:val="00AC4453"/>
    <w:rsid w:val="00AC48B3"/>
    <w:rsid w:val="00AC6BCF"/>
    <w:rsid w:val="00AC7040"/>
    <w:rsid w:val="00AC7281"/>
    <w:rsid w:val="00AD163C"/>
    <w:rsid w:val="00AD23AE"/>
    <w:rsid w:val="00AD2D75"/>
    <w:rsid w:val="00AD4D07"/>
    <w:rsid w:val="00AD5525"/>
    <w:rsid w:val="00AD75C8"/>
    <w:rsid w:val="00AE078B"/>
    <w:rsid w:val="00AE0D8C"/>
    <w:rsid w:val="00AE4203"/>
    <w:rsid w:val="00AE48DB"/>
    <w:rsid w:val="00AF340D"/>
    <w:rsid w:val="00AF42B4"/>
    <w:rsid w:val="00AF4D53"/>
    <w:rsid w:val="00AF6147"/>
    <w:rsid w:val="00B0109C"/>
    <w:rsid w:val="00B03B9A"/>
    <w:rsid w:val="00B049EB"/>
    <w:rsid w:val="00B07B12"/>
    <w:rsid w:val="00B105BC"/>
    <w:rsid w:val="00B12279"/>
    <w:rsid w:val="00B1344C"/>
    <w:rsid w:val="00B13A43"/>
    <w:rsid w:val="00B176E6"/>
    <w:rsid w:val="00B2008D"/>
    <w:rsid w:val="00B22D5B"/>
    <w:rsid w:val="00B24430"/>
    <w:rsid w:val="00B305DB"/>
    <w:rsid w:val="00B32371"/>
    <w:rsid w:val="00B32C1E"/>
    <w:rsid w:val="00B33A26"/>
    <w:rsid w:val="00B37D0F"/>
    <w:rsid w:val="00B40A4C"/>
    <w:rsid w:val="00B427F8"/>
    <w:rsid w:val="00B42D5A"/>
    <w:rsid w:val="00B440C3"/>
    <w:rsid w:val="00B44489"/>
    <w:rsid w:val="00B45F9A"/>
    <w:rsid w:val="00B469EB"/>
    <w:rsid w:val="00B47172"/>
    <w:rsid w:val="00B50845"/>
    <w:rsid w:val="00B5201A"/>
    <w:rsid w:val="00B52BB8"/>
    <w:rsid w:val="00B55703"/>
    <w:rsid w:val="00B55B48"/>
    <w:rsid w:val="00B57E08"/>
    <w:rsid w:val="00B601DD"/>
    <w:rsid w:val="00B617C1"/>
    <w:rsid w:val="00B625AE"/>
    <w:rsid w:val="00B66A5C"/>
    <w:rsid w:val="00B672B5"/>
    <w:rsid w:val="00B7039D"/>
    <w:rsid w:val="00B765D5"/>
    <w:rsid w:val="00B76E28"/>
    <w:rsid w:val="00B836E7"/>
    <w:rsid w:val="00B87716"/>
    <w:rsid w:val="00B8788F"/>
    <w:rsid w:val="00B9168E"/>
    <w:rsid w:val="00B92FD4"/>
    <w:rsid w:val="00B96854"/>
    <w:rsid w:val="00B9782E"/>
    <w:rsid w:val="00BA1914"/>
    <w:rsid w:val="00BA47C3"/>
    <w:rsid w:val="00BA4ECA"/>
    <w:rsid w:val="00BA73DA"/>
    <w:rsid w:val="00BB1C59"/>
    <w:rsid w:val="00BB221D"/>
    <w:rsid w:val="00BB2EEE"/>
    <w:rsid w:val="00BB33EC"/>
    <w:rsid w:val="00BB3602"/>
    <w:rsid w:val="00BB5C2B"/>
    <w:rsid w:val="00BB6586"/>
    <w:rsid w:val="00BC12D6"/>
    <w:rsid w:val="00BC1BE0"/>
    <w:rsid w:val="00BC28D3"/>
    <w:rsid w:val="00BC312F"/>
    <w:rsid w:val="00BC5A01"/>
    <w:rsid w:val="00BC5FDA"/>
    <w:rsid w:val="00BD3846"/>
    <w:rsid w:val="00BD55B9"/>
    <w:rsid w:val="00BE1EA4"/>
    <w:rsid w:val="00BE5E07"/>
    <w:rsid w:val="00BE6754"/>
    <w:rsid w:val="00BE74B1"/>
    <w:rsid w:val="00BE79D2"/>
    <w:rsid w:val="00BE7E0C"/>
    <w:rsid w:val="00BF183C"/>
    <w:rsid w:val="00BF2A35"/>
    <w:rsid w:val="00BF2BBD"/>
    <w:rsid w:val="00BF3A4F"/>
    <w:rsid w:val="00BF6055"/>
    <w:rsid w:val="00BF794A"/>
    <w:rsid w:val="00BF7CFE"/>
    <w:rsid w:val="00C00FAD"/>
    <w:rsid w:val="00C01E37"/>
    <w:rsid w:val="00C027C9"/>
    <w:rsid w:val="00C02B1A"/>
    <w:rsid w:val="00C0413D"/>
    <w:rsid w:val="00C05680"/>
    <w:rsid w:val="00C067BF"/>
    <w:rsid w:val="00C07949"/>
    <w:rsid w:val="00C11276"/>
    <w:rsid w:val="00C13979"/>
    <w:rsid w:val="00C141CC"/>
    <w:rsid w:val="00C16A1A"/>
    <w:rsid w:val="00C17ABF"/>
    <w:rsid w:val="00C22040"/>
    <w:rsid w:val="00C303BD"/>
    <w:rsid w:val="00C318AF"/>
    <w:rsid w:val="00C33503"/>
    <w:rsid w:val="00C34055"/>
    <w:rsid w:val="00C34704"/>
    <w:rsid w:val="00C34863"/>
    <w:rsid w:val="00C3735B"/>
    <w:rsid w:val="00C41AD9"/>
    <w:rsid w:val="00C44B94"/>
    <w:rsid w:val="00C45EA4"/>
    <w:rsid w:val="00C50F1B"/>
    <w:rsid w:val="00C516A9"/>
    <w:rsid w:val="00C516BB"/>
    <w:rsid w:val="00C51C9B"/>
    <w:rsid w:val="00C52A8D"/>
    <w:rsid w:val="00C53E36"/>
    <w:rsid w:val="00C574E6"/>
    <w:rsid w:val="00C60B5E"/>
    <w:rsid w:val="00C6163E"/>
    <w:rsid w:val="00C6268A"/>
    <w:rsid w:val="00C65A33"/>
    <w:rsid w:val="00C67EFF"/>
    <w:rsid w:val="00C73D24"/>
    <w:rsid w:val="00C749F0"/>
    <w:rsid w:val="00C74AE2"/>
    <w:rsid w:val="00C74CB9"/>
    <w:rsid w:val="00C75B4F"/>
    <w:rsid w:val="00C75C1C"/>
    <w:rsid w:val="00C75D1F"/>
    <w:rsid w:val="00C77A1E"/>
    <w:rsid w:val="00C801B3"/>
    <w:rsid w:val="00C809E9"/>
    <w:rsid w:val="00C8152F"/>
    <w:rsid w:val="00C81F44"/>
    <w:rsid w:val="00C81FBC"/>
    <w:rsid w:val="00C837B4"/>
    <w:rsid w:val="00C83C25"/>
    <w:rsid w:val="00C91785"/>
    <w:rsid w:val="00C92713"/>
    <w:rsid w:val="00C927D0"/>
    <w:rsid w:val="00C92D95"/>
    <w:rsid w:val="00CA3E43"/>
    <w:rsid w:val="00CA45E1"/>
    <w:rsid w:val="00CA64FA"/>
    <w:rsid w:val="00CB0BE2"/>
    <w:rsid w:val="00CB545E"/>
    <w:rsid w:val="00CB6986"/>
    <w:rsid w:val="00CC1210"/>
    <w:rsid w:val="00CC17B4"/>
    <w:rsid w:val="00CC1BF0"/>
    <w:rsid w:val="00CC2923"/>
    <w:rsid w:val="00CC5CBA"/>
    <w:rsid w:val="00CC6BC2"/>
    <w:rsid w:val="00CD1826"/>
    <w:rsid w:val="00CD3E90"/>
    <w:rsid w:val="00CD63FF"/>
    <w:rsid w:val="00CD6A1B"/>
    <w:rsid w:val="00CD6BB0"/>
    <w:rsid w:val="00CE11DE"/>
    <w:rsid w:val="00CE1B0D"/>
    <w:rsid w:val="00CE247C"/>
    <w:rsid w:val="00CE27A3"/>
    <w:rsid w:val="00CE291C"/>
    <w:rsid w:val="00CE41B0"/>
    <w:rsid w:val="00CE5B72"/>
    <w:rsid w:val="00CE7A37"/>
    <w:rsid w:val="00CF0BAA"/>
    <w:rsid w:val="00CF2850"/>
    <w:rsid w:val="00CF33F8"/>
    <w:rsid w:val="00D018FC"/>
    <w:rsid w:val="00D03100"/>
    <w:rsid w:val="00D110CE"/>
    <w:rsid w:val="00D127F7"/>
    <w:rsid w:val="00D12B00"/>
    <w:rsid w:val="00D12F6E"/>
    <w:rsid w:val="00D16E7F"/>
    <w:rsid w:val="00D2352F"/>
    <w:rsid w:val="00D25FC5"/>
    <w:rsid w:val="00D300A8"/>
    <w:rsid w:val="00D36789"/>
    <w:rsid w:val="00D375AD"/>
    <w:rsid w:val="00D40278"/>
    <w:rsid w:val="00D41307"/>
    <w:rsid w:val="00D428A3"/>
    <w:rsid w:val="00D4394A"/>
    <w:rsid w:val="00D43B41"/>
    <w:rsid w:val="00D4483A"/>
    <w:rsid w:val="00D47D2A"/>
    <w:rsid w:val="00D50FFF"/>
    <w:rsid w:val="00D52C30"/>
    <w:rsid w:val="00D53AE3"/>
    <w:rsid w:val="00D53D40"/>
    <w:rsid w:val="00D56587"/>
    <w:rsid w:val="00D568CC"/>
    <w:rsid w:val="00D608D3"/>
    <w:rsid w:val="00D60A07"/>
    <w:rsid w:val="00D60B2B"/>
    <w:rsid w:val="00D61646"/>
    <w:rsid w:val="00D61D94"/>
    <w:rsid w:val="00D640CF"/>
    <w:rsid w:val="00D6497A"/>
    <w:rsid w:val="00D661D6"/>
    <w:rsid w:val="00D731AE"/>
    <w:rsid w:val="00D7385C"/>
    <w:rsid w:val="00D75F29"/>
    <w:rsid w:val="00D77A24"/>
    <w:rsid w:val="00D83223"/>
    <w:rsid w:val="00D83233"/>
    <w:rsid w:val="00D843A8"/>
    <w:rsid w:val="00D85946"/>
    <w:rsid w:val="00D9074E"/>
    <w:rsid w:val="00D907CE"/>
    <w:rsid w:val="00D9431D"/>
    <w:rsid w:val="00D955D6"/>
    <w:rsid w:val="00D95EA0"/>
    <w:rsid w:val="00D96507"/>
    <w:rsid w:val="00D97479"/>
    <w:rsid w:val="00DA13EC"/>
    <w:rsid w:val="00DA22E5"/>
    <w:rsid w:val="00DA4FC3"/>
    <w:rsid w:val="00DA6951"/>
    <w:rsid w:val="00DB49B0"/>
    <w:rsid w:val="00DB6628"/>
    <w:rsid w:val="00DC070A"/>
    <w:rsid w:val="00DC1794"/>
    <w:rsid w:val="00DC28E2"/>
    <w:rsid w:val="00DC398E"/>
    <w:rsid w:val="00DC42D9"/>
    <w:rsid w:val="00DC446B"/>
    <w:rsid w:val="00DC54CB"/>
    <w:rsid w:val="00DC7984"/>
    <w:rsid w:val="00DC79EE"/>
    <w:rsid w:val="00DD037A"/>
    <w:rsid w:val="00DD0ABF"/>
    <w:rsid w:val="00DD0FC0"/>
    <w:rsid w:val="00DD1402"/>
    <w:rsid w:val="00DD49F9"/>
    <w:rsid w:val="00DD5DCD"/>
    <w:rsid w:val="00DD6D4F"/>
    <w:rsid w:val="00DE0517"/>
    <w:rsid w:val="00DE39D7"/>
    <w:rsid w:val="00DE4823"/>
    <w:rsid w:val="00DF32CC"/>
    <w:rsid w:val="00DF4218"/>
    <w:rsid w:val="00DF5571"/>
    <w:rsid w:val="00DF7C20"/>
    <w:rsid w:val="00E01FF8"/>
    <w:rsid w:val="00E040C7"/>
    <w:rsid w:val="00E063AE"/>
    <w:rsid w:val="00E100D6"/>
    <w:rsid w:val="00E12FAF"/>
    <w:rsid w:val="00E14280"/>
    <w:rsid w:val="00E16712"/>
    <w:rsid w:val="00E16968"/>
    <w:rsid w:val="00E17C75"/>
    <w:rsid w:val="00E20F22"/>
    <w:rsid w:val="00E22D5A"/>
    <w:rsid w:val="00E24314"/>
    <w:rsid w:val="00E252D6"/>
    <w:rsid w:val="00E27010"/>
    <w:rsid w:val="00E27EDC"/>
    <w:rsid w:val="00E31903"/>
    <w:rsid w:val="00E31B79"/>
    <w:rsid w:val="00E31BC4"/>
    <w:rsid w:val="00E3440D"/>
    <w:rsid w:val="00E36889"/>
    <w:rsid w:val="00E36D79"/>
    <w:rsid w:val="00E40AFA"/>
    <w:rsid w:val="00E42074"/>
    <w:rsid w:val="00E42E71"/>
    <w:rsid w:val="00E4672C"/>
    <w:rsid w:val="00E50D58"/>
    <w:rsid w:val="00E52C1D"/>
    <w:rsid w:val="00E532A5"/>
    <w:rsid w:val="00E535F7"/>
    <w:rsid w:val="00E54C9B"/>
    <w:rsid w:val="00E61804"/>
    <w:rsid w:val="00E6488D"/>
    <w:rsid w:val="00E65103"/>
    <w:rsid w:val="00E668E1"/>
    <w:rsid w:val="00E7000C"/>
    <w:rsid w:val="00E71EA9"/>
    <w:rsid w:val="00E72707"/>
    <w:rsid w:val="00E73551"/>
    <w:rsid w:val="00E77020"/>
    <w:rsid w:val="00E77755"/>
    <w:rsid w:val="00E77EF3"/>
    <w:rsid w:val="00E815BD"/>
    <w:rsid w:val="00E86312"/>
    <w:rsid w:val="00E866DA"/>
    <w:rsid w:val="00E90B8E"/>
    <w:rsid w:val="00E92EFA"/>
    <w:rsid w:val="00E93580"/>
    <w:rsid w:val="00E9557A"/>
    <w:rsid w:val="00E96D08"/>
    <w:rsid w:val="00E977A9"/>
    <w:rsid w:val="00E97E61"/>
    <w:rsid w:val="00EA2DFB"/>
    <w:rsid w:val="00EA4E0F"/>
    <w:rsid w:val="00EA666D"/>
    <w:rsid w:val="00EA6A0B"/>
    <w:rsid w:val="00EB0C08"/>
    <w:rsid w:val="00EB2983"/>
    <w:rsid w:val="00EB3D02"/>
    <w:rsid w:val="00EB46D3"/>
    <w:rsid w:val="00EB59E7"/>
    <w:rsid w:val="00EB7D5B"/>
    <w:rsid w:val="00EC0924"/>
    <w:rsid w:val="00EC2A43"/>
    <w:rsid w:val="00EC5F00"/>
    <w:rsid w:val="00EC6B3A"/>
    <w:rsid w:val="00ED009D"/>
    <w:rsid w:val="00ED0123"/>
    <w:rsid w:val="00ED26AA"/>
    <w:rsid w:val="00ED2CA0"/>
    <w:rsid w:val="00ED3DE4"/>
    <w:rsid w:val="00ED7666"/>
    <w:rsid w:val="00ED7C4D"/>
    <w:rsid w:val="00EE0339"/>
    <w:rsid w:val="00EE2C2D"/>
    <w:rsid w:val="00EE2F45"/>
    <w:rsid w:val="00EE5128"/>
    <w:rsid w:val="00EE6C4F"/>
    <w:rsid w:val="00EE72CB"/>
    <w:rsid w:val="00EF202C"/>
    <w:rsid w:val="00EF2F5A"/>
    <w:rsid w:val="00EF340A"/>
    <w:rsid w:val="00EF42B4"/>
    <w:rsid w:val="00F00C58"/>
    <w:rsid w:val="00F01023"/>
    <w:rsid w:val="00F02083"/>
    <w:rsid w:val="00F029A1"/>
    <w:rsid w:val="00F03E91"/>
    <w:rsid w:val="00F04C4E"/>
    <w:rsid w:val="00F1040B"/>
    <w:rsid w:val="00F1092B"/>
    <w:rsid w:val="00F11967"/>
    <w:rsid w:val="00F12568"/>
    <w:rsid w:val="00F16468"/>
    <w:rsid w:val="00F16F92"/>
    <w:rsid w:val="00F17049"/>
    <w:rsid w:val="00F173CE"/>
    <w:rsid w:val="00F2152F"/>
    <w:rsid w:val="00F21769"/>
    <w:rsid w:val="00F22647"/>
    <w:rsid w:val="00F23A3F"/>
    <w:rsid w:val="00F24079"/>
    <w:rsid w:val="00F25551"/>
    <w:rsid w:val="00F26428"/>
    <w:rsid w:val="00F2690C"/>
    <w:rsid w:val="00F365C5"/>
    <w:rsid w:val="00F370E3"/>
    <w:rsid w:val="00F4155A"/>
    <w:rsid w:val="00F42026"/>
    <w:rsid w:val="00F42AD1"/>
    <w:rsid w:val="00F43CB2"/>
    <w:rsid w:val="00F43FB5"/>
    <w:rsid w:val="00F440E3"/>
    <w:rsid w:val="00F442F5"/>
    <w:rsid w:val="00F46D75"/>
    <w:rsid w:val="00F471BD"/>
    <w:rsid w:val="00F478B2"/>
    <w:rsid w:val="00F50292"/>
    <w:rsid w:val="00F5109F"/>
    <w:rsid w:val="00F55D4D"/>
    <w:rsid w:val="00F60060"/>
    <w:rsid w:val="00F60C5B"/>
    <w:rsid w:val="00F61475"/>
    <w:rsid w:val="00F61883"/>
    <w:rsid w:val="00F63746"/>
    <w:rsid w:val="00F64590"/>
    <w:rsid w:val="00F6566C"/>
    <w:rsid w:val="00F7087D"/>
    <w:rsid w:val="00F71C3A"/>
    <w:rsid w:val="00F71E2A"/>
    <w:rsid w:val="00F72C8C"/>
    <w:rsid w:val="00F72EBF"/>
    <w:rsid w:val="00F73174"/>
    <w:rsid w:val="00F765CC"/>
    <w:rsid w:val="00F85CF0"/>
    <w:rsid w:val="00F86473"/>
    <w:rsid w:val="00F90685"/>
    <w:rsid w:val="00F90A8E"/>
    <w:rsid w:val="00F91E0D"/>
    <w:rsid w:val="00F93092"/>
    <w:rsid w:val="00F934BC"/>
    <w:rsid w:val="00F94772"/>
    <w:rsid w:val="00F94ACC"/>
    <w:rsid w:val="00F95212"/>
    <w:rsid w:val="00F966D1"/>
    <w:rsid w:val="00FA0A8E"/>
    <w:rsid w:val="00FA191A"/>
    <w:rsid w:val="00FA3BF4"/>
    <w:rsid w:val="00FA443B"/>
    <w:rsid w:val="00FA4A16"/>
    <w:rsid w:val="00FA59CB"/>
    <w:rsid w:val="00FA75A1"/>
    <w:rsid w:val="00FB0281"/>
    <w:rsid w:val="00FB116C"/>
    <w:rsid w:val="00FB1A2C"/>
    <w:rsid w:val="00FB20A5"/>
    <w:rsid w:val="00FB5D29"/>
    <w:rsid w:val="00FC06EF"/>
    <w:rsid w:val="00FC0BDE"/>
    <w:rsid w:val="00FC1BD3"/>
    <w:rsid w:val="00FC219D"/>
    <w:rsid w:val="00FC2A35"/>
    <w:rsid w:val="00FC2C07"/>
    <w:rsid w:val="00FC4235"/>
    <w:rsid w:val="00FC477F"/>
    <w:rsid w:val="00FD0334"/>
    <w:rsid w:val="00FE07A7"/>
    <w:rsid w:val="00FE2BDF"/>
    <w:rsid w:val="00FF4204"/>
    <w:rsid w:val="00FF6447"/>
    <w:rsid w:val="00FF75C7"/>
    <w:rsid w:val="01D20C0D"/>
    <w:rsid w:val="05CD36E4"/>
    <w:rsid w:val="086268FF"/>
    <w:rsid w:val="09882D7D"/>
    <w:rsid w:val="0AC63531"/>
    <w:rsid w:val="0C183281"/>
    <w:rsid w:val="14296A93"/>
    <w:rsid w:val="14E24D9E"/>
    <w:rsid w:val="17C01C6B"/>
    <w:rsid w:val="181F1212"/>
    <w:rsid w:val="1FFB4833"/>
    <w:rsid w:val="259F352B"/>
    <w:rsid w:val="25B243D9"/>
    <w:rsid w:val="2C3A00BE"/>
    <w:rsid w:val="2CF642DB"/>
    <w:rsid w:val="30203B59"/>
    <w:rsid w:val="34BF1F28"/>
    <w:rsid w:val="3C97227C"/>
    <w:rsid w:val="437B1210"/>
    <w:rsid w:val="481B6AA3"/>
    <w:rsid w:val="4A696804"/>
    <w:rsid w:val="4EE34BC8"/>
    <w:rsid w:val="50C731F0"/>
    <w:rsid w:val="54A75473"/>
    <w:rsid w:val="5628625F"/>
    <w:rsid w:val="5A8A35EF"/>
    <w:rsid w:val="5B9B1450"/>
    <w:rsid w:val="5E68136A"/>
    <w:rsid w:val="664D4775"/>
    <w:rsid w:val="66507175"/>
    <w:rsid w:val="670174A2"/>
    <w:rsid w:val="672B6B67"/>
    <w:rsid w:val="67FF2515"/>
    <w:rsid w:val="68443644"/>
    <w:rsid w:val="6D0D207A"/>
    <w:rsid w:val="7CE24B2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99"/>
    <w:rPr>
      <w:sz w:val="18"/>
      <w:szCs w:val="18"/>
    </w:rPr>
  </w:style>
  <w:style w:type="character" w:customStyle="1" w:styleId="8">
    <w:name w:val="页脚 Char"/>
    <w:basedOn w:val="6"/>
    <w:link w:val="3"/>
    <w:qFormat/>
    <w:uiPriority w:val="99"/>
    <w:rPr>
      <w:sz w:val="18"/>
      <w:szCs w:val="18"/>
    </w:rPr>
  </w:style>
  <w:style w:type="character" w:customStyle="1" w:styleId="9">
    <w:name w:val="批注框文本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ttttttt\Desktop\&#25253;&#38134;&#30417;\&#20010;&#20154;320\&#38468;&#20214;7&#65306;&#20135;&#21697;&#35828;&#26126;&#20070;&#65288;&#22825;&#28155;&#37329;2013&#24180;&#31532;304&#26399;&#65289;.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BA9AD11-07BE-4B74-AE7C-97D834132007}">
  <ds:schemaRefs/>
</ds:datastoreItem>
</file>

<file path=docProps/app.xml><?xml version="1.0" encoding="utf-8"?>
<Properties xmlns="http://schemas.openxmlformats.org/officeDocument/2006/extended-properties" xmlns:vt="http://schemas.openxmlformats.org/officeDocument/2006/docPropsVTypes">
  <Template>附件7：产品说明书（天添金2013年第304期）</Template>
  <Company>微软中国</Company>
  <Pages>4</Pages>
  <Words>531</Words>
  <Characters>3028</Characters>
  <Lines>25</Lines>
  <Paragraphs>7</Paragraphs>
  <TotalTime>7</TotalTime>
  <ScaleCrop>false</ScaleCrop>
  <LinksUpToDate>false</LinksUpToDate>
  <CharactersWithSpaces>3552</CharactersWithSpaces>
  <Application>WPS Office_11.1.0.10069_F1E327BC-269C-435d-A152-05C5408002CA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2016-04-24T09:12:00Z</dcterms:created>
  <dc:creator>匿名用户</dc:creator>
  <cp:lastModifiedBy>m</cp:lastModifiedBy>
  <cp:lastPrinted>2020-04-17T02:35:00Z</cp:lastPrinted>
  <dcterms:modified xsi:type="dcterms:W3CDTF">2020-10-23T06:30:01Z</dcterms:modified>
  <cp:revision>78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2052-11.1.0.10069</vt:lpwstr>
  </property>
</Properties>
</file>