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方正大标宋简体" w:hAnsi="方正大标宋简体" w:eastAsia="方正大标宋简体" w:cs="方正大标宋简体"/>
          <w:b w:val="0"/>
          <w:bCs/>
          <w:sz w:val="40"/>
          <w:szCs w:val="40"/>
        </w:rPr>
      </w:pPr>
      <w:bookmarkStart w:id="0" w:name="_GoBack"/>
      <w:bookmarkEnd w:id="0"/>
      <w:r>
        <w:rPr>
          <w:rFonts w:hint="eastAsia" w:ascii="方正大标宋简体" w:hAnsi="方正大标宋简体" w:eastAsia="方正大标宋简体" w:cs="方正大标宋简体"/>
          <w:b w:val="0"/>
          <w:bCs/>
          <w:color w:val="auto"/>
          <w:sz w:val="40"/>
          <w:szCs w:val="40"/>
          <w:highlight w:val="none"/>
        </w:rPr>
        <w:t>姜堰</w:t>
      </w:r>
      <w:r>
        <w:rPr>
          <w:rFonts w:hint="eastAsia" w:ascii="方正大标宋简体" w:hAnsi="方正大标宋简体" w:eastAsia="方正大标宋简体" w:cs="方正大标宋简体"/>
          <w:b w:val="0"/>
          <w:bCs/>
          <w:sz w:val="40"/>
          <w:szCs w:val="40"/>
        </w:rPr>
        <w:t>农村商业银行圆鼎贷记卡领用合约</w:t>
      </w:r>
    </w:p>
    <w:p>
      <w:pPr>
        <w:spacing w:line="360" w:lineRule="auto"/>
        <w:ind w:firstLine="482" w:firstLineChars="200"/>
        <w:jc w:val="left"/>
        <w:rPr>
          <w:rFonts w:hint="eastAsia" w:ascii="新宋体" w:hAnsi="新宋体" w:eastAsia="新宋体"/>
          <w:b/>
          <w:bCs/>
          <w:color w:val="auto"/>
          <w:sz w:val="24"/>
          <w:szCs w:val="24"/>
          <w:lang w:eastAsia="zh-CN"/>
        </w:rPr>
      </w:pPr>
    </w:p>
    <w:p>
      <w:pPr>
        <w:spacing w:line="360" w:lineRule="auto"/>
        <w:ind w:firstLine="482" w:firstLineChars="200"/>
        <w:jc w:val="left"/>
        <w:rPr>
          <w:rFonts w:hint="eastAsia" w:ascii="新宋体" w:hAnsi="新宋体" w:eastAsia="新宋体"/>
          <w:b w:val="0"/>
          <w:bCs/>
          <w:color w:val="auto"/>
          <w:sz w:val="24"/>
          <w:szCs w:val="24"/>
          <w:highlight w:val="none"/>
        </w:rPr>
      </w:pPr>
      <w:r>
        <w:rPr>
          <w:rFonts w:hint="eastAsia" w:ascii="新宋体" w:hAnsi="新宋体" w:eastAsia="新宋体"/>
          <w:b/>
          <w:bCs/>
          <w:color w:val="auto"/>
          <w:sz w:val="24"/>
          <w:szCs w:val="24"/>
          <w:lang w:eastAsia="zh-CN"/>
        </w:rPr>
        <w:t>【</w:t>
      </w:r>
      <w:r>
        <w:rPr>
          <w:rFonts w:hint="eastAsia" w:ascii="新宋体" w:hAnsi="新宋体" w:eastAsia="新宋体"/>
          <w:b/>
          <w:bCs/>
          <w:sz w:val="24"/>
          <w:szCs w:val="24"/>
        </w:rPr>
        <w:t>特别提醒</w:t>
      </w:r>
      <w:r>
        <w:rPr>
          <w:rFonts w:hint="eastAsia" w:ascii="新宋体" w:hAnsi="新宋体" w:eastAsia="新宋体"/>
          <w:b/>
          <w:bCs/>
          <w:sz w:val="24"/>
          <w:szCs w:val="24"/>
          <w:lang w:eastAsia="zh-CN"/>
        </w:rPr>
        <w:t>】</w:t>
      </w:r>
      <w:r>
        <w:rPr>
          <w:rFonts w:hint="eastAsia" w:ascii="新宋体" w:hAnsi="新宋体" w:eastAsia="新宋体"/>
          <w:b/>
          <w:bCs/>
          <w:sz w:val="24"/>
          <w:szCs w:val="24"/>
        </w:rPr>
        <w:t>我行诚恳地建议您：您在我行网上银行、手机银行或者相关软件客户端点击确认或者以其他方式（包括但不限于签名或签章确认）接受本合约之前，请您务必事先了解清楚并充分理解本合约条款的全部内容。一旦您在相关平台点击或者以其他方式接受本合约，即意味着您愿意向我行申请开通本业务，并已阅读、充分理解和接受本合约所有条款，同意接受本合约约束。</w:t>
      </w:r>
    </w:p>
    <w:p>
      <w:pPr>
        <w:spacing w:line="360" w:lineRule="auto"/>
        <w:ind w:firstLine="482" w:firstLineChars="200"/>
        <w:jc w:val="left"/>
        <w:rPr>
          <w:rFonts w:hint="eastAsia" w:ascii="新宋体" w:hAnsi="新宋体" w:eastAsia="新宋体"/>
          <w:b/>
          <w:bCs/>
          <w:sz w:val="24"/>
          <w:szCs w:val="24"/>
        </w:rPr>
      </w:pPr>
      <w:r>
        <w:rPr>
          <w:rFonts w:hint="eastAsia" w:ascii="新宋体" w:hAnsi="新宋体" w:eastAsia="新宋体"/>
          <w:b/>
          <w:bCs/>
          <w:sz w:val="24"/>
          <w:szCs w:val="24"/>
          <w:lang w:val="en-US" w:eastAsia="zh-CN"/>
        </w:rPr>
        <w:t>为</w:t>
      </w:r>
      <w:r>
        <w:rPr>
          <w:rFonts w:hint="eastAsia" w:ascii="新宋体" w:hAnsi="新宋体" w:eastAsia="新宋体"/>
          <w:b/>
          <w:bCs/>
          <w:sz w:val="24"/>
          <w:szCs w:val="24"/>
        </w:rPr>
        <w:t>充分维护您的合法权益，我行再次提醒您特别关注本合约条款中的黑体加粗以及含有特殊符号部分。如您无法准确理解或不同意本合约，请勿继续之后的操作流程！如您对本合约有任何疑问，请您随时致电我行客服电话：4008296008，在获得我行工作人员的解释和说明后，请您自主决定是否接受本合约并进行后续的操作。</w:t>
      </w:r>
    </w:p>
    <w:p>
      <w:pPr>
        <w:spacing w:line="360" w:lineRule="auto"/>
        <w:ind w:firstLine="482" w:firstLineChars="200"/>
        <w:jc w:val="left"/>
        <w:rPr>
          <w:rFonts w:hint="eastAsia" w:ascii="新宋体" w:hAnsi="新宋体" w:eastAsia="新宋体"/>
          <w:b/>
          <w:bCs/>
          <w:sz w:val="24"/>
          <w:szCs w:val="24"/>
        </w:rPr>
      </w:pPr>
      <w:r>
        <w:rPr>
          <w:rFonts w:hint="eastAsia" w:ascii="新宋体" w:hAnsi="新宋体" w:eastAsia="新宋体"/>
          <w:b/>
          <w:bCs/>
          <w:sz w:val="24"/>
          <w:szCs w:val="24"/>
        </w:rPr>
        <w:t>为进一步改善您的体验，我们将会持续开发新服务，为您提供版本升级、功能升级等服务和内容更新。这些更新将会持续同步在本合约条款当中。您同意，我行可以在银行门户网站、营业网点以及网上银行、手机银行等客户端以公告的方式提前予以公布，并通过APP推送、弹窗提示等方式通知您，以便您能及时了解本合约最新内容；若您在本合约内容公告变更生效后继续使用本合约项下业务的，表示您已充分阅读、理解并接受变更修改后的合约内容。若您不同意变更修改后的合约内容，您有权停止使用相关业务；双方协商一致的，也可另行变更相关服务和对应的合约内容。我行鼓励您不时查阅本合约，以便我们为您提供最优的服务。</w:t>
      </w:r>
    </w:p>
    <w:p>
      <w:pPr>
        <w:spacing w:line="360" w:lineRule="auto"/>
        <w:ind w:firstLine="482" w:firstLineChars="200"/>
        <w:jc w:val="left"/>
        <w:rPr>
          <w:rFonts w:hint="eastAsia" w:ascii="新宋体" w:hAnsi="新宋体" w:eastAsia="新宋体"/>
          <w:b/>
          <w:bCs/>
          <w:sz w:val="24"/>
          <w:szCs w:val="24"/>
        </w:rPr>
      </w:pPr>
    </w:p>
    <w:p>
      <w:pPr>
        <w:spacing w:line="360" w:lineRule="auto"/>
        <w:ind w:firstLine="480" w:firstLineChars="200"/>
        <w:rPr>
          <w:rFonts w:hint="eastAsia" w:ascii="新宋体" w:hAnsi="新宋体" w:eastAsia="新宋体"/>
          <w:bCs/>
          <w:sz w:val="24"/>
          <w:szCs w:val="24"/>
        </w:rPr>
      </w:pPr>
      <w:r>
        <w:rPr>
          <w:rFonts w:hint="eastAsia" w:ascii="新宋体" w:hAnsi="新宋体" w:eastAsia="新宋体"/>
          <w:bCs/>
          <w:sz w:val="24"/>
          <w:szCs w:val="24"/>
        </w:rPr>
        <w:t>圆鼎贷记卡品牌是由江苏省各农村商业银行委托</w:t>
      </w:r>
      <w:r>
        <w:rPr>
          <w:rFonts w:hint="eastAsia" w:ascii="新宋体" w:hAnsi="新宋体" w:eastAsia="新宋体"/>
          <w:bCs/>
          <w:sz w:val="24"/>
          <w:szCs w:val="24"/>
          <w:highlight w:val="none"/>
          <w:lang w:val="en-US" w:eastAsia="zh-CN"/>
        </w:rPr>
        <w:t>江苏农村商业联合银行股份有限公司</w:t>
      </w:r>
      <w:r>
        <w:rPr>
          <w:rFonts w:hint="eastAsia" w:ascii="新宋体" w:hAnsi="新宋体" w:eastAsia="新宋体"/>
          <w:bCs/>
          <w:sz w:val="24"/>
          <w:szCs w:val="24"/>
          <w:highlight w:val="none"/>
        </w:rPr>
        <w:t>申请，供委托单位发行使用的统一贷记卡品牌，各委托单位</w:t>
      </w:r>
      <w:r>
        <w:rPr>
          <w:rFonts w:hint="eastAsia" w:ascii="新宋体" w:hAnsi="新宋体" w:eastAsia="新宋体"/>
          <w:bCs/>
          <w:sz w:val="24"/>
          <w:szCs w:val="24"/>
        </w:rPr>
        <w:t>为发卡机构（下称甲方）。甲方与圆鼎贷记卡主卡及附属卡申领人（下称乙方）在同意共同遵守法律法规和监管政策（下称适用法律），以及《圆鼎贷记</w:t>
      </w:r>
      <w:r>
        <w:rPr>
          <w:rFonts w:hint="eastAsia" w:ascii="新宋体" w:hAnsi="新宋体" w:eastAsia="新宋体"/>
          <w:bCs/>
          <w:sz w:val="24"/>
          <w:szCs w:val="24"/>
          <w:highlight w:val="none"/>
        </w:rPr>
        <w:t>卡</w:t>
      </w:r>
      <w:r>
        <w:rPr>
          <w:rFonts w:hint="eastAsia" w:ascii="新宋体" w:hAnsi="新宋体" w:eastAsia="新宋体"/>
          <w:sz w:val="24"/>
          <w:szCs w:val="24"/>
          <w:highlight w:val="none"/>
        </w:rPr>
        <w:t>章程</w:t>
      </w:r>
      <w:r>
        <w:rPr>
          <w:rFonts w:hint="eastAsia" w:ascii="新宋体" w:hAnsi="新宋体" w:eastAsia="新宋体"/>
          <w:bCs/>
          <w:sz w:val="24"/>
          <w:szCs w:val="24"/>
          <w:highlight w:val="none"/>
        </w:rPr>
        <w:t>》（下称《章程》）的前提下，就申领和使用圆鼎贷记卡事宜达成本合约。乙方在申请</w:t>
      </w:r>
      <w:r>
        <w:rPr>
          <w:rFonts w:hint="eastAsia" w:ascii="新宋体" w:hAnsi="新宋体" w:eastAsia="新宋体"/>
          <w:bCs/>
          <w:sz w:val="24"/>
          <w:szCs w:val="24"/>
          <w:highlight w:val="none"/>
          <w:lang w:val="en-US" w:eastAsia="zh-CN"/>
        </w:rPr>
        <w:t>材料中</w:t>
      </w:r>
      <w:r>
        <w:rPr>
          <w:rFonts w:hint="eastAsia" w:ascii="新宋体" w:hAnsi="新宋体" w:eastAsia="新宋体"/>
          <w:bCs/>
          <w:sz w:val="24"/>
          <w:szCs w:val="24"/>
          <w:highlight w:val="none"/>
        </w:rPr>
        <w:t>签名或使用圆鼎贷记卡时，即视为乙方已理解和接受《</w:t>
      </w:r>
      <w:r>
        <w:rPr>
          <w:rFonts w:hint="eastAsia" w:ascii="新宋体" w:hAnsi="新宋体" w:eastAsia="新宋体"/>
          <w:bCs/>
          <w:sz w:val="24"/>
          <w:szCs w:val="24"/>
        </w:rPr>
        <w:t>章程》和本合约以及申请表的全部内容，并同意受其约束。</w:t>
      </w:r>
    </w:p>
    <w:p>
      <w:pPr>
        <w:spacing w:line="360" w:lineRule="auto"/>
        <w:ind w:firstLine="480" w:firstLineChars="200"/>
        <w:rPr>
          <w:rFonts w:hint="eastAsia" w:ascii="新宋体" w:hAnsi="新宋体" w:eastAsia="新宋体"/>
          <w:bCs/>
          <w:sz w:val="24"/>
          <w:szCs w:val="24"/>
        </w:rPr>
      </w:pP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 xml:space="preserve">第一条 </w:t>
      </w:r>
      <w:r>
        <w:rPr>
          <w:rFonts w:hint="eastAsia" w:ascii="新宋体" w:hAnsi="新宋体" w:eastAsia="新宋体"/>
          <w:b/>
          <w:bCs/>
          <w:sz w:val="24"/>
          <w:szCs w:val="24"/>
          <w:lang w:val="en-US" w:eastAsia="zh-CN"/>
        </w:rPr>
        <w:t>申领与额度管理</w:t>
      </w:r>
    </w:p>
    <w:p>
      <w:pPr>
        <w:spacing w:line="360" w:lineRule="auto"/>
        <w:ind w:firstLine="480" w:firstLineChars="200"/>
        <w:rPr>
          <w:rFonts w:hint="default" w:ascii="新宋体" w:hAnsi="新宋体" w:eastAsia="新宋体"/>
          <w:kern w:val="0"/>
          <w:sz w:val="24"/>
          <w:szCs w:val="24"/>
          <w:lang w:val="en-US" w:eastAsia="zh-CN"/>
        </w:rPr>
      </w:pPr>
      <w:r>
        <w:rPr>
          <w:rFonts w:hint="eastAsia" w:ascii="新宋体" w:hAnsi="新宋体" w:eastAsia="新宋体"/>
          <w:bCs/>
          <w:sz w:val="24"/>
          <w:szCs w:val="24"/>
        </w:rPr>
        <w:t>一、</w:t>
      </w:r>
      <w:r>
        <w:rPr>
          <w:rFonts w:hint="eastAsia" w:ascii="新宋体" w:hAnsi="新宋体" w:eastAsia="新宋体"/>
          <w:kern w:val="0"/>
          <w:sz w:val="24"/>
          <w:szCs w:val="24"/>
          <w:lang w:val="en-US" w:eastAsia="zh-CN"/>
        </w:rPr>
        <w:t>乙方应通过甲方指定渠道及</w:t>
      </w:r>
      <w:r>
        <w:rPr>
          <w:rFonts w:hint="eastAsia" w:ascii="新宋体" w:hAnsi="新宋体" w:eastAsia="新宋体"/>
          <w:kern w:val="0"/>
          <w:sz w:val="24"/>
          <w:szCs w:val="24"/>
        </w:rPr>
        <w:t>甲方规定的内容和方式，准确、完整、真实地提交圆鼎贷记卡（下称贷记卡）申请信息和证明资料（下称申请资料）。甲方有权根据乙方的申请资料和资信状况决定是否核发贷记卡，并核定卡片等级、信用额度和担保条件。</w:t>
      </w:r>
      <w:r>
        <w:rPr>
          <w:rFonts w:hint="eastAsia" w:ascii="新宋体" w:hAnsi="新宋体" w:eastAsia="新宋体"/>
          <w:kern w:val="0"/>
          <w:sz w:val="24"/>
          <w:szCs w:val="24"/>
          <w:lang w:val="en-US" w:eastAsia="zh-CN"/>
        </w:rPr>
        <w:t>申请必须由乙方亲笔签名或电子签名或甲乙双方认可的方式确认。</w:t>
      </w:r>
    </w:p>
    <w:p>
      <w:pPr>
        <w:spacing w:line="360" w:lineRule="auto"/>
        <w:ind w:firstLine="480" w:firstLineChars="200"/>
        <w:rPr>
          <w:rFonts w:hint="eastAsia" w:ascii="新宋体" w:hAnsi="新宋体" w:eastAsia="新宋体"/>
          <w:kern w:val="0"/>
          <w:sz w:val="24"/>
          <w:szCs w:val="24"/>
        </w:rPr>
      </w:pPr>
      <w:r>
        <w:rPr>
          <w:rFonts w:hint="eastAsia" w:ascii="新宋体" w:hAnsi="新宋体" w:eastAsia="新宋体"/>
          <w:kern w:val="0"/>
          <w:sz w:val="24"/>
          <w:szCs w:val="24"/>
        </w:rPr>
        <w:t>若甲方在</w:t>
      </w:r>
      <w:r>
        <w:rPr>
          <w:rFonts w:hint="eastAsia" w:ascii="新宋体" w:hAnsi="新宋体" w:eastAsia="新宋体"/>
          <w:kern w:val="0"/>
          <w:sz w:val="24"/>
          <w:szCs w:val="24"/>
          <w:lang w:eastAsia="zh-CN"/>
        </w:rPr>
        <w:t>贷记卡</w:t>
      </w:r>
      <w:r>
        <w:rPr>
          <w:rFonts w:hint="eastAsia" w:ascii="新宋体" w:hAnsi="新宋体" w:eastAsia="新宋体"/>
          <w:kern w:val="0"/>
          <w:sz w:val="24"/>
          <w:szCs w:val="24"/>
        </w:rPr>
        <w:t>受理、审批、领卡等环节发现乙方及附属卡持卡人涉嫌提供不实信息、资料造假或存在其他违法违规情形的，甲方有权拒绝乙方及附属卡持卡人的领卡或激活等要求，或对乙方及附属卡持卡人所申请的</w:t>
      </w:r>
      <w:r>
        <w:rPr>
          <w:rFonts w:hint="eastAsia" w:ascii="新宋体" w:hAnsi="新宋体" w:eastAsia="新宋体"/>
          <w:kern w:val="0"/>
          <w:sz w:val="24"/>
          <w:szCs w:val="24"/>
          <w:lang w:eastAsia="zh-CN"/>
        </w:rPr>
        <w:t>贷记卡</w:t>
      </w:r>
      <w:r>
        <w:rPr>
          <w:rFonts w:hint="eastAsia" w:ascii="新宋体" w:hAnsi="新宋体" w:eastAsia="新宋体"/>
          <w:kern w:val="0"/>
          <w:sz w:val="24"/>
          <w:szCs w:val="24"/>
        </w:rPr>
        <w:t>（含附属卡）采取降额、止付、销户等措施。</w:t>
      </w:r>
    </w:p>
    <w:p>
      <w:pPr>
        <w:numPr>
          <w:ilvl w:val="0"/>
          <w:numId w:val="1"/>
        </w:numPr>
        <w:spacing w:line="360" w:lineRule="auto"/>
        <w:ind w:firstLine="480" w:firstLineChars="200"/>
        <w:rPr>
          <w:rFonts w:hint="eastAsia" w:ascii="新宋体" w:hAnsi="新宋体" w:eastAsia="新宋体"/>
          <w:sz w:val="24"/>
          <w:szCs w:val="24"/>
          <w:lang w:val="en-US" w:eastAsia="zh-CN"/>
        </w:rPr>
      </w:pPr>
      <w:r>
        <w:rPr>
          <w:rFonts w:hint="eastAsia" w:ascii="新宋体" w:hAnsi="新宋体" w:eastAsia="新宋体"/>
          <w:sz w:val="24"/>
          <w:szCs w:val="24"/>
        </w:rPr>
        <w:t>乙方主卡申领人可为其具有完全民事行为能力的配偶、父母或子女办理附属卡</w:t>
      </w:r>
      <w:r>
        <w:rPr>
          <w:rFonts w:hint="eastAsia" w:ascii="新宋体" w:hAnsi="新宋体" w:eastAsia="新宋体"/>
          <w:sz w:val="24"/>
          <w:szCs w:val="24"/>
          <w:lang w:eastAsia="zh-CN"/>
        </w:rPr>
        <w:t>。</w:t>
      </w:r>
      <w:r>
        <w:rPr>
          <w:rFonts w:hint="eastAsia" w:ascii="新宋体" w:hAnsi="新宋体" w:eastAsia="新宋体"/>
          <w:sz w:val="24"/>
          <w:szCs w:val="24"/>
        </w:rPr>
        <w:t>主卡持卡人有义务督促其附属卡持卡人遵守《章程》及本合约相关规定，并应承担因附属卡持卡人违反规定造成的一切损失。主卡申领人可随时申请调整、停止或取消附属卡的使用。</w:t>
      </w:r>
      <w:r>
        <w:rPr>
          <w:rFonts w:hint="eastAsia" w:ascii="新宋体" w:hAnsi="新宋体" w:eastAsia="新宋体"/>
          <w:b/>
          <w:bCs/>
          <w:sz w:val="24"/>
          <w:szCs w:val="24"/>
        </w:rPr>
        <w:t>主卡持卡人应承担其贷记卡项下包括主卡及附属卡发生的全部债务责任，附属卡持卡人仅对本人附属卡产生的应还款项承担连带偿还责任</w:t>
      </w:r>
      <w:r>
        <w:rPr>
          <w:rFonts w:hint="eastAsia" w:ascii="新宋体" w:hAnsi="新宋体" w:eastAsia="新宋体"/>
          <w:sz w:val="24"/>
          <w:szCs w:val="24"/>
        </w:rPr>
        <w:t>，主卡及附属卡卡号的变更在任何情况下均不改变债务责任的承担。</w:t>
      </w:r>
    </w:p>
    <w:p>
      <w:pPr>
        <w:numPr>
          <w:ilvl w:val="0"/>
          <w:numId w:val="1"/>
        </w:numPr>
        <w:spacing w:line="360" w:lineRule="auto"/>
        <w:ind w:firstLine="480" w:firstLineChars="200"/>
        <w:rPr>
          <w:rFonts w:hint="eastAsia" w:ascii="新宋体" w:hAnsi="新宋体" w:eastAsia="新宋体"/>
          <w:b/>
          <w:bCs/>
          <w:sz w:val="24"/>
          <w:szCs w:val="24"/>
          <w:lang w:val="en-US" w:eastAsia="zh-CN"/>
        </w:rPr>
      </w:pPr>
      <w:r>
        <w:rPr>
          <w:rFonts w:hint="eastAsia" w:ascii="新宋体" w:hAnsi="新宋体" w:eastAsia="新宋体"/>
          <w:sz w:val="24"/>
          <w:szCs w:val="24"/>
          <w:lang w:val="en-US" w:eastAsia="zh-CN"/>
        </w:rPr>
        <w:t>甲方对乙方持有贷记卡主卡及其附属卡、同一持卡人名下的多张贷记卡主卡信用额度实行合并管理，额度共享，各贷记卡实际使用的信用额度总和不得超过各贷记卡中的最高信用额度。</w:t>
      </w:r>
      <w:r>
        <w:rPr>
          <w:rFonts w:hint="eastAsia" w:ascii="新宋体" w:hAnsi="新宋体" w:eastAsia="新宋体"/>
          <w:b/>
          <w:bCs/>
          <w:sz w:val="24"/>
          <w:szCs w:val="24"/>
          <w:lang w:val="en-US" w:eastAsia="zh-CN"/>
        </w:rPr>
        <w:t>甲方有权根据乙方的资信状况、用卡情况或风险信息等对贷记卡信用额度进行动态管理。</w:t>
      </w:r>
    </w:p>
    <w:p>
      <w:pPr>
        <w:spacing w:line="360" w:lineRule="auto"/>
        <w:ind w:firstLine="480" w:firstLineChars="200"/>
        <w:rPr>
          <w:rFonts w:hint="eastAsia" w:ascii="新宋体" w:hAnsi="新宋体" w:eastAsia="新宋体"/>
          <w:b/>
          <w:kern w:val="0"/>
          <w:sz w:val="24"/>
          <w:szCs w:val="24"/>
        </w:rPr>
      </w:pPr>
      <w:r>
        <w:rPr>
          <w:rFonts w:hint="eastAsia" w:ascii="新宋体" w:hAnsi="新宋体" w:eastAsia="新宋体"/>
          <w:kern w:val="0"/>
          <w:sz w:val="24"/>
          <w:szCs w:val="24"/>
          <w:lang w:val="en-US" w:eastAsia="zh-CN"/>
        </w:rPr>
        <w:t>四、</w:t>
      </w:r>
      <w:r>
        <w:rPr>
          <w:rFonts w:hint="eastAsia" w:ascii="新宋体" w:hAnsi="新宋体" w:eastAsia="新宋体"/>
          <w:b/>
          <w:kern w:val="0"/>
          <w:sz w:val="24"/>
          <w:szCs w:val="24"/>
        </w:rPr>
        <w:t>乙方同意甲方在审核贷记卡申请或进行后续风险管理（包括但不限定于核对或调整信用额度、开展贷后管理、进行异议处理和清收应还款项等）的过程中向中国人民银行金融信用信息基础数据库和其他合法设立的征信机构查询、打印、保存、使用乙方的信用报告及全部信用信息，向有关部门、单位和个人了解乙方的姓名、出生日期、身份证件号码、个人生物识别信息、住址、通信通讯联系方式、通信记录和内容、账号密码、财产信息、征信信息、行踪轨迹、住宿信息、健康生理信息、交易信息和其他有关信息（包括但不限于学历、职业、个人贷款、各类</w:t>
      </w:r>
      <w:r>
        <w:rPr>
          <w:rFonts w:hint="eastAsia" w:ascii="新宋体" w:hAnsi="新宋体" w:eastAsia="新宋体"/>
          <w:b/>
          <w:kern w:val="0"/>
          <w:sz w:val="24"/>
          <w:szCs w:val="24"/>
          <w:lang w:eastAsia="zh-CN"/>
        </w:rPr>
        <w:t>贷记卡</w:t>
      </w:r>
      <w:r>
        <w:rPr>
          <w:rFonts w:hint="eastAsia" w:ascii="新宋体" w:hAnsi="新宋体" w:eastAsia="新宋体"/>
          <w:b/>
          <w:kern w:val="0"/>
          <w:sz w:val="24"/>
          <w:szCs w:val="24"/>
        </w:rPr>
        <w:t>和对外担保等信用活动中形成的交易记录等个人信贷交易信息及缴纳社会保险和住房公积金，拥有机动车、房地产或金融资产等非银行信用信息）；乙方同意甲方将包括本人基本信息、信贷信息等信用信息向中国人民银行金融信用信息基础数据库和其他法律法规要求的有关部门、单位报送。期限自乙方签署本合约之日起至贷记卡销户结清之日止。</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bCs/>
          <w:sz w:val="24"/>
          <w:szCs w:val="24"/>
          <w:lang w:val="en-US" w:eastAsia="zh-CN"/>
        </w:rPr>
        <w:t>五、</w:t>
      </w:r>
      <w:r>
        <w:rPr>
          <w:rFonts w:hint="eastAsia" w:ascii="新宋体" w:hAnsi="新宋体" w:eastAsia="新宋体"/>
          <w:b/>
          <w:bCs/>
          <w:sz w:val="24"/>
          <w:szCs w:val="24"/>
        </w:rPr>
        <w:t>请乙方关注个人信息保护的相关法律法规及甲方发布的相关隐私政策，了解自己的权利义务，合理审慎提供个人信息，维护自身合法权益。乙方同意甲方出于为乙方提供综合化金融服务的目的</w:t>
      </w:r>
      <w:r>
        <w:rPr>
          <w:rFonts w:hint="eastAsia" w:ascii="新宋体" w:hAnsi="新宋体" w:eastAsia="新宋体"/>
          <w:b/>
          <w:sz w:val="24"/>
          <w:szCs w:val="24"/>
        </w:rPr>
        <w:t>而采集、处理、传递及使用乙方的个人资料和信息。为确保长期安全保存上述资料和信息，防范因非法披露和使用而使乙方遭受损失的风险，甲方对个人信息的收集、存储、使用、处理、传输等环节进行严格控制，遵循合法、正当、必要原则。甲方承诺使用必要的技术和管理手段，限制员工接触权限，避免上述资料和信息被非法篡改、毁损、披露或提供。除法律另有规定或双方另有约定，甲方可出于下述目的使用乙方的个人资料、信息及信用状况并披露给必要的第三方（包括但不限于公安、公积金、社保、税务、通信运营商、互联网平台等第三方机构），范围限于：（a）为开展贷记卡业务和提供贷记卡服务的目的，自行使用或披露给甲方代理人、增值服务提供方、外包作业机构等提供产品或服务的第三方；（b）为风险控制的目的，自行使用或披露给甲方的关联公司、分支机构、服务机构（包括账款催收服务机构）以及监管机构、银行卡组织、或其他金融机构；（c）为维护客户关系、提升客户服务的目的，用于向乙方推荐或营销甲方的其他产品和服务（包括甲方代理销售的保险业务），但乙方不愿接受的除外；（d）为使乙方获得相关会员权益或优惠权益，披露给联名贷记卡、认同贷记卡的合作方或其指定的供应商和服务商。除法律法规规定必须披露或乙方授权甲方披露的以外，甲方承诺对上述信息承担保密义务，并要求接收甲方披露资料的第三方对上述信息承担保密义务。如甲方违反保密义务，将依法承担法律责任。</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ascii="宋体" w:hAnsi="宋体" w:eastAsia="宋体" w:cs="宋体"/>
          <w:sz w:val="24"/>
          <w:szCs w:val="24"/>
        </w:rPr>
      </w:pPr>
      <w:r>
        <w:rPr>
          <w:rFonts w:hint="eastAsia" w:ascii="宋体" w:hAnsi="宋体" w:cs="宋体"/>
          <w:sz w:val="24"/>
          <w:szCs w:val="24"/>
          <w:lang w:val="en-US" w:eastAsia="zh-CN"/>
        </w:rPr>
        <w:t>六、</w:t>
      </w:r>
      <w:r>
        <w:rPr>
          <w:rFonts w:ascii="宋体" w:hAnsi="宋体" w:eastAsia="宋体" w:cs="宋体"/>
          <w:sz w:val="24"/>
          <w:szCs w:val="24"/>
        </w:rPr>
        <w:t>作为</w:t>
      </w:r>
      <w:r>
        <w:rPr>
          <w:rFonts w:hint="eastAsia" w:ascii="宋体" w:hAnsi="宋体" w:eastAsia="宋体" w:cs="宋体"/>
          <w:sz w:val="24"/>
          <w:szCs w:val="24"/>
          <w:lang w:val="en-US" w:eastAsia="zh-CN"/>
        </w:rPr>
        <w:t>贷记卡</w:t>
      </w:r>
      <w:r>
        <w:rPr>
          <w:rFonts w:ascii="宋体" w:hAnsi="宋体" w:eastAsia="宋体" w:cs="宋体"/>
          <w:sz w:val="24"/>
          <w:szCs w:val="24"/>
        </w:rPr>
        <w:t>业务申请人及服务使用人，</w:t>
      </w:r>
      <w:r>
        <w:rPr>
          <w:rFonts w:hint="eastAsia" w:ascii="宋体" w:hAnsi="宋体" w:eastAsia="宋体" w:cs="宋体"/>
          <w:sz w:val="24"/>
          <w:szCs w:val="24"/>
          <w:lang w:val="en-US" w:eastAsia="zh-CN"/>
        </w:rPr>
        <w:t>乙方</w:t>
      </w:r>
      <w:r>
        <w:rPr>
          <w:rFonts w:ascii="宋体" w:hAnsi="宋体" w:eastAsia="宋体" w:cs="宋体"/>
          <w:sz w:val="24"/>
          <w:szCs w:val="24"/>
        </w:rPr>
        <w:t>自愿同意并授权</w:t>
      </w:r>
      <w:r>
        <w:rPr>
          <w:rFonts w:hint="eastAsia" w:ascii="宋体" w:hAnsi="宋体" w:eastAsia="宋体" w:cs="宋体"/>
          <w:sz w:val="24"/>
          <w:szCs w:val="24"/>
          <w:lang w:val="en-US" w:eastAsia="zh-CN"/>
        </w:rPr>
        <w:t>甲方</w:t>
      </w:r>
      <w:r>
        <w:rPr>
          <w:rFonts w:ascii="宋体" w:hAnsi="宋体" w:eastAsia="宋体" w:cs="宋体"/>
          <w:sz w:val="24"/>
          <w:szCs w:val="24"/>
        </w:rPr>
        <w:t>收集、传输、处理、保存、加工、根据法律行政法规的要求披露、共享及使用</w:t>
      </w:r>
      <w:r>
        <w:rPr>
          <w:rFonts w:hint="eastAsia" w:ascii="宋体" w:hAnsi="宋体" w:eastAsia="宋体" w:cs="宋体"/>
          <w:sz w:val="24"/>
          <w:szCs w:val="24"/>
          <w:lang w:val="en-US" w:eastAsia="zh-CN"/>
        </w:rPr>
        <w:t>乙方</w:t>
      </w:r>
      <w:r>
        <w:rPr>
          <w:rFonts w:ascii="宋体" w:hAnsi="宋体" w:eastAsia="宋体" w:cs="宋体"/>
          <w:sz w:val="24"/>
          <w:szCs w:val="24"/>
        </w:rPr>
        <w:t xml:space="preserve">的授权信息。 </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ascii="宋体" w:hAnsi="宋体" w:eastAsia="宋体" w:cs="宋体"/>
          <w:sz w:val="24"/>
          <w:szCs w:val="24"/>
        </w:rPr>
      </w:pPr>
      <w:r>
        <w:rPr>
          <w:rFonts w:ascii="宋体" w:hAnsi="宋体" w:eastAsia="宋体" w:cs="宋体"/>
          <w:sz w:val="24"/>
          <w:szCs w:val="24"/>
        </w:rPr>
        <w:t>作为</w:t>
      </w:r>
      <w:r>
        <w:rPr>
          <w:rFonts w:hint="eastAsia" w:ascii="宋体" w:hAnsi="宋体" w:eastAsia="宋体" w:cs="宋体"/>
          <w:sz w:val="24"/>
          <w:szCs w:val="24"/>
          <w:lang w:val="en-US" w:eastAsia="zh-CN"/>
        </w:rPr>
        <w:t>贷记卡</w:t>
      </w:r>
      <w:r>
        <w:rPr>
          <w:rFonts w:ascii="宋体" w:hAnsi="宋体" w:eastAsia="宋体" w:cs="宋体"/>
          <w:sz w:val="24"/>
          <w:szCs w:val="24"/>
        </w:rPr>
        <w:t>业务申请人及服务使用人，基于风险管理、优惠权益推荐、数据研究分析等业务场景之处理目的和使用范围内，</w:t>
      </w:r>
      <w:r>
        <w:rPr>
          <w:rFonts w:hint="eastAsia" w:ascii="宋体" w:hAnsi="宋体" w:eastAsia="宋体" w:cs="宋体"/>
          <w:sz w:val="24"/>
          <w:szCs w:val="24"/>
          <w:lang w:val="en-US" w:eastAsia="zh-CN"/>
        </w:rPr>
        <w:t>乙方</w:t>
      </w:r>
      <w:r>
        <w:rPr>
          <w:rFonts w:ascii="宋体" w:hAnsi="宋体" w:eastAsia="宋体" w:cs="宋体"/>
          <w:sz w:val="24"/>
          <w:szCs w:val="24"/>
        </w:rPr>
        <w:t>授权</w:t>
      </w:r>
      <w:r>
        <w:rPr>
          <w:rFonts w:hint="eastAsia" w:ascii="宋体" w:hAnsi="宋体" w:eastAsia="宋体" w:cs="宋体"/>
          <w:sz w:val="24"/>
          <w:szCs w:val="24"/>
          <w:lang w:val="en-US" w:eastAsia="zh-CN"/>
        </w:rPr>
        <w:t>甲方</w:t>
      </w:r>
      <w:r>
        <w:rPr>
          <w:rFonts w:ascii="宋体" w:hAnsi="宋体" w:eastAsia="宋体" w:cs="宋体"/>
          <w:sz w:val="24"/>
          <w:szCs w:val="24"/>
        </w:rPr>
        <w:t>向银行卡清算机构及其他合法存有</w:t>
      </w:r>
      <w:r>
        <w:rPr>
          <w:rFonts w:hint="eastAsia" w:ascii="宋体" w:hAnsi="宋体" w:eastAsia="宋体" w:cs="宋体"/>
          <w:sz w:val="24"/>
          <w:szCs w:val="24"/>
          <w:lang w:val="en-US" w:eastAsia="zh-CN"/>
        </w:rPr>
        <w:t>乙方</w:t>
      </w:r>
      <w:r>
        <w:rPr>
          <w:rFonts w:ascii="宋体" w:hAnsi="宋体" w:eastAsia="宋体" w:cs="宋体"/>
          <w:sz w:val="24"/>
          <w:szCs w:val="24"/>
        </w:rPr>
        <w:t>信息的第三方机构，提供</w:t>
      </w:r>
      <w:r>
        <w:rPr>
          <w:rFonts w:hint="eastAsia" w:ascii="宋体" w:hAnsi="宋体" w:eastAsia="宋体" w:cs="宋体"/>
          <w:sz w:val="24"/>
          <w:szCs w:val="24"/>
          <w:lang w:val="en-US" w:eastAsia="zh-CN"/>
        </w:rPr>
        <w:t>乙方</w:t>
      </w:r>
      <w:r>
        <w:rPr>
          <w:rFonts w:ascii="宋体" w:hAnsi="宋体" w:eastAsia="宋体" w:cs="宋体"/>
          <w:sz w:val="24"/>
          <w:szCs w:val="24"/>
        </w:rPr>
        <w:t>的【（1）个人基本信息；（2）银行卡信息；（3）交易信息】个人信息，用于查询、验证、确认</w:t>
      </w:r>
      <w:r>
        <w:rPr>
          <w:rFonts w:hint="eastAsia" w:ascii="宋体" w:hAnsi="宋体" w:eastAsia="宋体" w:cs="宋体"/>
          <w:sz w:val="24"/>
          <w:szCs w:val="24"/>
          <w:lang w:val="en-US" w:eastAsia="zh-CN"/>
        </w:rPr>
        <w:t>乙方</w:t>
      </w:r>
      <w:r>
        <w:rPr>
          <w:rFonts w:ascii="宋体" w:hAnsi="宋体" w:eastAsia="宋体" w:cs="宋体"/>
          <w:sz w:val="24"/>
          <w:szCs w:val="24"/>
        </w:rPr>
        <w:t>授权的个人信息，或委托上述机构对</w:t>
      </w:r>
      <w:r>
        <w:rPr>
          <w:rFonts w:hint="eastAsia" w:ascii="宋体" w:hAnsi="宋体" w:eastAsia="宋体" w:cs="宋体"/>
          <w:sz w:val="24"/>
          <w:szCs w:val="24"/>
          <w:lang w:val="en-US" w:eastAsia="zh-CN"/>
        </w:rPr>
        <w:t>乙方</w:t>
      </w:r>
      <w:r>
        <w:rPr>
          <w:rFonts w:ascii="宋体" w:hAnsi="宋体" w:eastAsia="宋体" w:cs="宋体"/>
          <w:sz w:val="24"/>
          <w:szCs w:val="24"/>
        </w:rPr>
        <w:t>的个人信息进行处理、加工、传输，并将上述信息及数据结果提供给</w:t>
      </w:r>
      <w:r>
        <w:rPr>
          <w:rFonts w:hint="eastAsia" w:ascii="宋体" w:hAnsi="宋体" w:eastAsia="宋体" w:cs="宋体"/>
          <w:sz w:val="24"/>
          <w:szCs w:val="24"/>
          <w:lang w:val="en-US" w:eastAsia="zh-CN"/>
        </w:rPr>
        <w:t>甲方</w:t>
      </w:r>
      <w:r>
        <w:rPr>
          <w:rFonts w:ascii="宋体" w:hAnsi="宋体" w:eastAsia="宋体" w:cs="宋体"/>
          <w:sz w:val="24"/>
          <w:szCs w:val="24"/>
        </w:rPr>
        <w:t>使用。</w:t>
      </w:r>
      <w:r>
        <w:rPr>
          <w:rFonts w:hint="eastAsia" w:ascii="宋体" w:hAnsi="宋体" w:eastAsia="宋体" w:cs="宋体"/>
          <w:sz w:val="24"/>
          <w:szCs w:val="24"/>
          <w:lang w:val="en-US" w:eastAsia="zh-CN"/>
        </w:rPr>
        <w:t>乙方</w:t>
      </w:r>
      <w:r>
        <w:rPr>
          <w:rFonts w:ascii="宋体" w:hAnsi="宋体" w:eastAsia="宋体" w:cs="宋体"/>
          <w:sz w:val="24"/>
          <w:szCs w:val="24"/>
        </w:rPr>
        <w:t>授权的个人信息包括：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ascii="宋体" w:hAnsi="宋体" w:eastAsia="宋体" w:cs="宋体"/>
          <w:sz w:val="24"/>
          <w:szCs w:val="24"/>
        </w:rPr>
        <w:t>个人基本信息（如证件类型及号码、手机号）；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ascii="宋体" w:hAnsi="宋体" w:eastAsia="宋体" w:cs="宋体"/>
          <w:sz w:val="24"/>
          <w:szCs w:val="24"/>
        </w:rPr>
        <w:t>银行卡信息（如银行卡号、发卡机构）；</w:t>
      </w:r>
    </w:p>
    <w:p>
      <w:pPr>
        <w:numPr>
          <w:ilvl w:val="0"/>
          <w:numId w:val="0"/>
        </w:numPr>
        <w:spacing w:line="360" w:lineRule="auto"/>
        <w:ind w:firstLine="480" w:firstLineChars="200"/>
        <w:rPr>
          <w:rFonts w:hint="eastAsia" w:ascii="新宋体" w:hAnsi="新宋体" w:eastAsia="新宋体"/>
          <w:b/>
          <w:sz w:val="24"/>
          <w:szCs w:val="24"/>
        </w:rPr>
      </w:pPr>
      <w:r>
        <w:rPr>
          <w:rFonts w:ascii="宋体" w:hAnsi="宋体" w:eastAsia="宋体" w:cs="宋体"/>
          <w:sz w:val="24"/>
          <w:szCs w:val="24"/>
        </w:rPr>
        <w:t>（3）交易信息（经银联网络处理的交易信息，如交易金额、交易时间、交易方式、交易地点、商户名称、商户编号、终端编号、受理机构）。</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lang w:val="en-US" w:eastAsia="zh-CN"/>
        </w:rPr>
        <w:t>七</w:t>
      </w:r>
      <w:r>
        <w:rPr>
          <w:rFonts w:hint="eastAsia" w:ascii="新宋体" w:hAnsi="新宋体" w:eastAsia="新宋体"/>
          <w:b/>
          <w:bCs/>
          <w:sz w:val="24"/>
          <w:szCs w:val="24"/>
        </w:rPr>
        <w:t>、甲方有权依据乙方的申请及资信状况确定是否同意发卡、发卡的种类及信用额度。无论甲方是否同意乙方的办卡申请，乙方同意甲方可以不退还申请表及相关资料。对于未通过审批的申请，甲方在遵循保密义务约定的前提下对乙方所提供的相关资料定期进行销毁。</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八、乙方</w:t>
      </w:r>
      <w:r>
        <w:rPr>
          <w:rFonts w:hint="eastAsia" w:ascii="新宋体" w:hAnsi="新宋体" w:eastAsia="新宋体"/>
          <w:sz w:val="24"/>
          <w:szCs w:val="24"/>
        </w:rPr>
        <w:t>同意甲方可以根据持卡人交易、还款等用卡情况、资信状况变化或风险信息等情况调整（包括调升或调降）其</w:t>
      </w:r>
      <w:r>
        <w:rPr>
          <w:rFonts w:hint="eastAsia" w:ascii="新宋体" w:hAnsi="新宋体" w:eastAsia="新宋体"/>
          <w:sz w:val="24"/>
          <w:szCs w:val="24"/>
          <w:lang w:val="en-US" w:eastAsia="zh-CN"/>
        </w:rPr>
        <w:t>贷记卡</w:t>
      </w:r>
      <w:r>
        <w:rPr>
          <w:rFonts w:hint="eastAsia" w:ascii="新宋体" w:hAnsi="新宋体" w:eastAsia="新宋体"/>
          <w:sz w:val="24"/>
          <w:szCs w:val="24"/>
        </w:rPr>
        <w:t>的授信额度并在乙方本人的信用信息中予以体现，或者要求</w:t>
      </w:r>
      <w:r>
        <w:rPr>
          <w:rFonts w:hint="eastAsia" w:ascii="新宋体" w:hAnsi="新宋体" w:eastAsia="新宋体"/>
          <w:sz w:val="24"/>
          <w:szCs w:val="24"/>
          <w:lang w:val="en-US" w:eastAsia="zh-CN"/>
        </w:rPr>
        <w:t>乙方</w:t>
      </w:r>
      <w:r>
        <w:rPr>
          <w:rFonts w:hint="eastAsia" w:ascii="新宋体" w:hAnsi="新宋体" w:eastAsia="新宋体"/>
          <w:sz w:val="24"/>
          <w:szCs w:val="24"/>
        </w:rPr>
        <w:t>提供甲方认可的担保措施。甲方调整授信额度可通过短信、电话或对账单等方式予以通知。甲方有权对超过6个月未激活的</w:t>
      </w:r>
      <w:r>
        <w:rPr>
          <w:rFonts w:hint="eastAsia" w:ascii="新宋体" w:hAnsi="新宋体" w:eastAsia="新宋体"/>
          <w:sz w:val="24"/>
          <w:szCs w:val="24"/>
          <w:lang w:eastAsia="zh-CN"/>
        </w:rPr>
        <w:t>贷记卡</w:t>
      </w:r>
      <w:r>
        <w:rPr>
          <w:rFonts w:hint="eastAsia" w:ascii="新宋体" w:hAnsi="新宋体" w:eastAsia="新宋体"/>
          <w:sz w:val="24"/>
          <w:szCs w:val="24"/>
        </w:rPr>
        <w:t>或超过6个月未发生交易的</w:t>
      </w:r>
      <w:r>
        <w:rPr>
          <w:rFonts w:hint="eastAsia" w:ascii="新宋体" w:hAnsi="新宋体" w:eastAsia="新宋体"/>
          <w:sz w:val="24"/>
          <w:szCs w:val="24"/>
          <w:lang w:val="en-US" w:eastAsia="zh-CN"/>
        </w:rPr>
        <w:t>贷记卡</w:t>
      </w:r>
      <w:r>
        <w:rPr>
          <w:rFonts w:hint="eastAsia" w:ascii="新宋体" w:hAnsi="新宋体" w:eastAsia="新宋体"/>
          <w:sz w:val="24"/>
          <w:szCs w:val="24"/>
        </w:rPr>
        <w:t>调降授信额度，但应提前3个工作日通过短信、信函、电话通知等方式明确告知</w:t>
      </w:r>
      <w:r>
        <w:rPr>
          <w:rFonts w:hint="eastAsia" w:ascii="新宋体" w:hAnsi="新宋体" w:eastAsia="新宋体"/>
          <w:sz w:val="24"/>
          <w:szCs w:val="24"/>
          <w:lang w:val="en-US" w:eastAsia="zh-CN"/>
        </w:rPr>
        <w:t>乙方</w:t>
      </w:r>
      <w:r>
        <w:rPr>
          <w:rFonts w:hint="eastAsia" w:ascii="新宋体" w:hAnsi="新宋体" w:eastAsia="新宋体"/>
          <w:sz w:val="24"/>
          <w:szCs w:val="24"/>
        </w:rPr>
        <w:t>。前述授信额度调整不影响</w:t>
      </w:r>
      <w:r>
        <w:rPr>
          <w:rFonts w:hint="eastAsia" w:ascii="新宋体" w:hAnsi="新宋体" w:eastAsia="新宋体"/>
          <w:sz w:val="24"/>
          <w:szCs w:val="24"/>
          <w:lang w:val="en-US" w:eastAsia="zh-CN"/>
        </w:rPr>
        <w:t>乙方</w:t>
      </w:r>
      <w:r>
        <w:rPr>
          <w:rFonts w:hint="eastAsia" w:ascii="新宋体" w:hAnsi="新宋体" w:eastAsia="新宋体"/>
          <w:sz w:val="24"/>
          <w:szCs w:val="24"/>
        </w:rPr>
        <w:t>在本协议项下的还款义务，</w:t>
      </w:r>
      <w:r>
        <w:rPr>
          <w:rFonts w:hint="eastAsia" w:ascii="新宋体" w:hAnsi="新宋体" w:eastAsia="新宋体"/>
          <w:sz w:val="24"/>
          <w:szCs w:val="24"/>
          <w:lang w:val="en-US" w:eastAsia="zh-CN"/>
        </w:rPr>
        <w:t>乙方</w:t>
      </w:r>
      <w:r>
        <w:rPr>
          <w:rFonts w:hint="eastAsia" w:ascii="新宋体" w:hAnsi="新宋体" w:eastAsia="新宋体"/>
          <w:sz w:val="24"/>
          <w:szCs w:val="24"/>
        </w:rPr>
        <w:t>仍需偿还已发生的交易款项、利息及费用等。</w:t>
      </w:r>
      <w:r>
        <w:rPr>
          <w:rFonts w:hint="eastAsia" w:ascii="新宋体" w:hAnsi="新宋体" w:eastAsia="新宋体"/>
          <w:sz w:val="24"/>
          <w:szCs w:val="24"/>
          <w:lang w:val="en-US" w:eastAsia="zh-CN"/>
        </w:rPr>
        <w:t>乙方</w:t>
      </w:r>
      <w:r>
        <w:rPr>
          <w:rFonts w:hint="eastAsia" w:ascii="新宋体" w:hAnsi="新宋体" w:eastAsia="新宋体"/>
          <w:sz w:val="24"/>
          <w:szCs w:val="24"/>
        </w:rPr>
        <w:t>如不愿调降授信额度，有权在结清后向甲方提出办理销户申请。</w:t>
      </w:r>
      <w:r>
        <w:rPr>
          <w:rFonts w:hint="eastAsia" w:ascii="新宋体" w:hAnsi="新宋体" w:eastAsia="新宋体"/>
          <w:sz w:val="24"/>
          <w:szCs w:val="24"/>
          <w:lang w:val="en-US" w:eastAsia="zh-CN"/>
        </w:rPr>
        <w:t>乙方</w:t>
      </w:r>
      <w:r>
        <w:rPr>
          <w:rFonts w:hint="eastAsia" w:ascii="新宋体" w:hAnsi="新宋体" w:eastAsia="新宋体"/>
          <w:sz w:val="24"/>
          <w:szCs w:val="24"/>
        </w:rPr>
        <w:t>如不愿调升授信额度或主动要求调降授信额度，应主动向甲方申请调降其</w:t>
      </w:r>
      <w:r>
        <w:rPr>
          <w:rFonts w:hint="eastAsia" w:ascii="新宋体" w:hAnsi="新宋体" w:eastAsia="新宋体"/>
          <w:sz w:val="24"/>
          <w:szCs w:val="24"/>
          <w:lang w:val="en-US" w:eastAsia="zh-CN"/>
        </w:rPr>
        <w:t>贷记卡</w:t>
      </w:r>
      <w:r>
        <w:rPr>
          <w:rFonts w:hint="eastAsia" w:ascii="新宋体" w:hAnsi="新宋体" w:eastAsia="新宋体"/>
          <w:sz w:val="24"/>
          <w:szCs w:val="24"/>
        </w:rPr>
        <w:t>额度。</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九</w:t>
      </w:r>
      <w:r>
        <w:rPr>
          <w:rFonts w:hint="eastAsia" w:ascii="新宋体" w:hAnsi="新宋体" w:eastAsia="新宋体"/>
          <w:sz w:val="24"/>
          <w:szCs w:val="24"/>
        </w:rPr>
        <w:t>、甲方按照乙方提供的地址通过挂号邮件、普通邮件或快递向乙方寄送贷记卡（包括续期或补换的贷记卡</w:t>
      </w:r>
      <w:r>
        <w:rPr>
          <w:rFonts w:hint="eastAsia" w:ascii="新宋体" w:hAnsi="新宋体" w:eastAsia="新宋体"/>
          <w:sz w:val="24"/>
          <w:szCs w:val="24"/>
          <w:lang w:eastAsia="zh-CN"/>
        </w:rPr>
        <w:t>，</w:t>
      </w:r>
      <w:r>
        <w:rPr>
          <w:rFonts w:hint="eastAsia" w:ascii="新宋体" w:hAnsi="新宋体" w:eastAsia="新宋体"/>
          <w:sz w:val="24"/>
          <w:szCs w:val="24"/>
        </w:rPr>
        <w:t>无实体卡的</w:t>
      </w:r>
      <w:r>
        <w:rPr>
          <w:rFonts w:hint="eastAsia" w:ascii="新宋体" w:hAnsi="新宋体" w:eastAsia="新宋体"/>
          <w:sz w:val="24"/>
          <w:szCs w:val="24"/>
          <w:lang w:val="en-US" w:eastAsia="zh-CN"/>
        </w:rPr>
        <w:t>贷记卡</w:t>
      </w:r>
      <w:r>
        <w:rPr>
          <w:rFonts w:hint="eastAsia" w:ascii="新宋体" w:hAnsi="新宋体" w:eastAsia="新宋体"/>
          <w:sz w:val="24"/>
          <w:szCs w:val="24"/>
        </w:rPr>
        <w:t>除外），乙方应确保该地址准确无误且能够正常收取邮件。乙方及附属卡持卡人应关注甲方发送的</w:t>
      </w:r>
      <w:r>
        <w:rPr>
          <w:rFonts w:hint="eastAsia" w:ascii="新宋体" w:hAnsi="新宋体" w:eastAsia="新宋体"/>
          <w:sz w:val="24"/>
          <w:szCs w:val="24"/>
          <w:lang w:eastAsia="zh-CN"/>
        </w:rPr>
        <w:t>贷记卡</w:t>
      </w:r>
      <w:r>
        <w:rPr>
          <w:rFonts w:hint="eastAsia" w:ascii="新宋体" w:hAnsi="新宋体" w:eastAsia="新宋体"/>
          <w:sz w:val="24"/>
          <w:szCs w:val="24"/>
        </w:rPr>
        <w:t>邮寄、面签或领卡信息，对于申领的</w:t>
      </w:r>
      <w:r>
        <w:rPr>
          <w:rFonts w:hint="eastAsia" w:ascii="新宋体" w:hAnsi="新宋体" w:eastAsia="新宋体"/>
          <w:sz w:val="24"/>
          <w:szCs w:val="24"/>
          <w:lang w:eastAsia="zh-CN"/>
        </w:rPr>
        <w:t>贷记卡</w:t>
      </w:r>
      <w:r>
        <w:rPr>
          <w:rFonts w:hint="eastAsia" w:ascii="新宋体" w:hAnsi="新宋体" w:eastAsia="新宋体"/>
          <w:sz w:val="24"/>
          <w:szCs w:val="24"/>
        </w:rPr>
        <w:t>需面签的，乙方应按照通知要求及时至网点办理面签手续。</w:t>
      </w:r>
    </w:p>
    <w:p>
      <w:pPr>
        <w:spacing w:line="360" w:lineRule="auto"/>
        <w:ind w:firstLine="480" w:firstLineChars="200"/>
        <w:rPr>
          <w:rFonts w:hint="eastAsia" w:ascii="新宋体" w:hAnsi="新宋体" w:eastAsia="新宋体"/>
          <w:kern w:val="0"/>
          <w:sz w:val="28"/>
          <w:szCs w:val="28"/>
        </w:rPr>
      </w:pPr>
      <w:r>
        <w:rPr>
          <w:rFonts w:hint="eastAsia" w:ascii="新宋体" w:hAnsi="新宋体" w:eastAsia="新宋体"/>
          <w:sz w:val="24"/>
          <w:szCs w:val="24"/>
          <w:lang w:val="en-US" w:eastAsia="zh-CN"/>
        </w:rPr>
        <w:t>十</w:t>
      </w:r>
      <w:r>
        <w:rPr>
          <w:rFonts w:hint="eastAsia" w:ascii="新宋体" w:hAnsi="新宋体" w:eastAsia="新宋体"/>
          <w:sz w:val="24"/>
          <w:szCs w:val="24"/>
        </w:rPr>
        <w:t>、</w:t>
      </w:r>
      <w:r>
        <w:rPr>
          <w:rFonts w:hint="eastAsia" w:ascii="新宋体" w:hAnsi="新宋体" w:eastAsia="新宋体"/>
          <w:b/>
          <w:sz w:val="24"/>
          <w:szCs w:val="24"/>
        </w:rPr>
        <w:t>乙方如发生工作变动、通讯地址、电话或身份证号码变更等，应主动于变更后3日内与甲方联系办理资料更新手续，否则，由此产生的损失由乙方承担。</w:t>
      </w:r>
    </w:p>
    <w:p>
      <w:pPr>
        <w:spacing w:line="360" w:lineRule="auto"/>
        <w:ind w:firstLine="482" w:firstLineChars="200"/>
        <w:rPr>
          <w:rFonts w:hint="eastAsia" w:ascii="新宋体" w:hAnsi="新宋体" w:eastAsia="新宋体"/>
          <w:b/>
          <w:bCs/>
          <w:sz w:val="24"/>
          <w:szCs w:val="24"/>
        </w:rPr>
      </w:pP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第二条 使用</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一、</w:t>
      </w:r>
      <w:r>
        <w:rPr>
          <w:rFonts w:hint="eastAsia" w:ascii="新宋体" w:hAnsi="新宋体" w:eastAsia="新宋体"/>
          <w:sz w:val="24"/>
          <w:szCs w:val="24"/>
        </w:rPr>
        <w:t>乙方及附属卡持卡人收到</w:t>
      </w:r>
      <w:r>
        <w:rPr>
          <w:rFonts w:hint="eastAsia" w:ascii="新宋体" w:hAnsi="新宋体" w:eastAsia="新宋体"/>
          <w:sz w:val="24"/>
          <w:szCs w:val="24"/>
          <w:lang w:val="en-US" w:eastAsia="zh-CN"/>
        </w:rPr>
        <w:t>贷记卡</w:t>
      </w:r>
      <w:r>
        <w:rPr>
          <w:rFonts w:hint="eastAsia" w:ascii="新宋体" w:hAnsi="新宋体" w:eastAsia="新宋体"/>
          <w:sz w:val="24"/>
          <w:szCs w:val="24"/>
        </w:rPr>
        <w:t>卡片后，应及时了解甲方核定的信用额度和指定的账单日，认真阅读有关贷记卡使用的说明资料，按甲方规定的方式激活贷记卡，并立即在卡片背面签名栏签署与申请</w:t>
      </w:r>
      <w:r>
        <w:rPr>
          <w:rFonts w:hint="eastAsia" w:ascii="新宋体" w:hAnsi="新宋体" w:eastAsia="新宋体"/>
          <w:sz w:val="24"/>
          <w:szCs w:val="24"/>
          <w:lang w:val="en-US" w:eastAsia="zh-CN"/>
        </w:rPr>
        <w:t>资料</w:t>
      </w:r>
      <w:r>
        <w:rPr>
          <w:rFonts w:hint="eastAsia" w:ascii="新宋体" w:hAnsi="新宋体" w:eastAsia="新宋体"/>
          <w:sz w:val="24"/>
          <w:szCs w:val="24"/>
        </w:rPr>
        <w:t>相同的签名（无实体卡的</w:t>
      </w:r>
      <w:r>
        <w:rPr>
          <w:rFonts w:hint="eastAsia" w:ascii="新宋体" w:hAnsi="新宋体" w:eastAsia="新宋体"/>
          <w:sz w:val="24"/>
          <w:szCs w:val="24"/>
          <w:lang w:val="en-US" w:eastAsia="zh-CN"/>
        </w:rPr>
        <w:t>贷记卡</w:t>
      </w:r>
      <w:r>
        <w:rPr>
          <w:rFonts w:hint="eastAsia" w:ascii="新宋体" w:hAnsi="新宋体" w:eastAsia="新宋体"/>
          <w:sz w:val="24"/>
          <w:szCs w:val="24"/>
        </w:rPr>
        <w:t>除外），</w:t>
      </w:r>
      <w:r>
        <w:rPr>
          <w:rFonts w:hint="eastAsia" w:ascii="新宋体" w:hAnsi="新宋体" w:eastAsia="新宋体"/>
          <w:b/>
          <w:bCs/>
          <w:sz w:val="24"/>
          <w:szCs w:val="24"/>
        </w:rPr>
        <w:t>甲方无核对义务，乙方在用卡时如需签名确认，应使用此签名，且贷记卡仅限本人使用</w:t>
      </w:r>
      <w:r>
        <w:rPr>
          <w:rFonts w:hint="eastAsia" w:ascii="新宋体" w:hAnsi="新宋体" w:eastAsia="新宋体"/>
          <w:b/>
          <w:bCs/>
          <w:sz w:val="24"/>
          <w:szCs w:val="24"/>
          <w:lang w:eastAsia="zh-CN"/>
        </w:rPr>
        <w:t>，</w:t>
      </w:r>
      <w:r>
        <w:rPr>
          <w:rFonts w:hint="eastAsia" w:ascii="新宋体" w:hAnsi="新宋体" w:eastAsia="新宋体"/>
          <w:b/>
          <w:bCs/>
          <w:sz w:val="24"/>
          <w:szCs w:val="24"/>
        </w:rPr>
        <w:t>否则，由此产生的损失由乙方承担。</w:t>
      </w:r>
      <w:r>
        <w:rPr>
          <w:rFonts w:hint="eastAsia" w:ascii="新宋体" w:hAnsi="新宋体" w:eastAsia="新宋体"/>
          <w:sz w:val="24"/>
          <w:szCs w:val="24"/>
        </w:rPr>
        <w:t>对毋须或无法进行签名的交易，甲方不得以交易单据上无签名或无交易单据为由拒绝付款。</w:t>
      </w:r>
    </w:p>
    <w:p>
      <w:pPr>
        <w:spacing w:line="360" w:lineRule="auto"/>
        <w:ind w:firstLine="480" w:firstLineChars="200"/>
        <w:rPr>
          <w:rFonts w:hint="default" w:ascii="新宋体" w:hAnsi="新宋体" w:eastAsia="新宋体"/>
          <w:sz w:val="24"/>
          <w:szCs w:val="24"/>
          <w:lang w:val="en-US" w:eastAsia="zh-CN"/>
        </w:rPr>
      </w:pPr>
      <w:r>
        <w:rPr>
          <w:rFonts w:hint="eastAsia" w:ascii="新宋体" w:hAnsi="新宋体" w:eastAsia="新宋体"/>
          <w:sz w:val="24"/>
          <w:szCs w:val="24"/>
          <w:lang w:val="en-US" w:eastAsia="zh-CN"/>
        </w:rPr>
        <w:t>二、</w:t>
      </w:r>
      <w:r>
        <w:rPr>
          <w:rFonts w:hint="eastAsia" w:ascii="新宋体" w:hAnsi="新宋体" w:eastAsia="新宋体"/>
          <w:sz w:val="24"/>
          <w:szCs w:val="24"/>
        </w:rPr>
        <w:t>乙方及附属卡持卡人应通过甲方指定的途径设置查询密码（该密码适用于客户服务热线电话语音确认身份等）、交易密码（该密码适用于预借现金、刷卡消费、</w:t>
      </w:r>
      <w:r>
        <w:rPr>
          <w:rFonts w:hint="eastAsia" w:ascii="新宋体" w:hAnsi="新宋体" w:eastAsia="新宋体"/>
          <w:sz w:val="24"/>
          <w:szCs w:val="24"/>
          <w:lang w:val="en-US" w:eastAsia="zh-CN"/>
        </w:rPr>
        <w:t>PAY</w:t>
      </w:r>
      <w:r>
        <w:rPr>
          <w:rFonts w:hint="eastAsia" w:ascii="新宋体" w:hAnsi="新宋体" w:eastAsia="新宋体"/>
          <w:sz w:val="24"/>
          <w:szCs w:val="24"/>
        </w:rPr>
        <w:t>类交易等）。乙方及附属卡持卡人凭密交易时，须输入其交易密码。乙方及附属卡持卡人</w:t>
      </w:r>
      <w:r>
        <w:rPr>
          <w:rFonts w:hint="eastAsia" w:ascii="新宋体" w:hAnsi="新宋体" w:eastAsia="新宋体"/>
          <w:sz w:val="24"/>
          <w:szCs w:val="24"/>
          <w:lang w:val="en-US" w:eastAsia="zh-CN"/>
        </w:rPr>
        <w:t>应妥善保管密码，任何通过密码完成的交易或发出的指令，相应责任均由持卡人自行承担。</w:t>
      </w:r>
    </w:p>
    <w:p>
      <w:pPr>
        <w:autoSpaceDE w:val="0"/>
        <w:autoSpaceDN w:val="0"/>
        <w:adjustRightInd w:val="0"/>
        <w:spacing w:line="360" w:lineRule="auto"/>
        <w:ind w:firstLine="480" w:firstLineChars="200"/>
        <w:jc w:val="left"/>
        <w:rPr>
          <w:rFonts w:hint="eastAsia" w:ascii="新宋体" w:hAnsi="新宋体" w:eastAsia="新宋体"/>
          <w:kern w:val="0"/>
          <w:sz w:val="23"/>
          <w:szCs w:val="23"/>
        </w:rPr>
      </w:pPr>
      <w:r>
        <w:rPr>
          <w:rFonts w:hint="eastAsia" w:ascii="新宋体" w:hAnsi="新宋体" w:eastAsia="新宋体"/>
          <w:sz w:val="24"/>
          <w:szCs w:val="24"/>
          <w:lang w:val="en-US" w:eastAsia="zh-CN"/>
        </w:rPr>
        <w:t>三</w:t>
      </w:r>
      <w:r>
        <w:rPr>
          <w:rFonts w:hint="eastAsia" w:ascii="新宋体" w:hAnsi="新宋体" w:eastAsia="新宋体"/>
          <w:sz w:val="24"/>
          <w:szCs w:val="24"/>
        </w:rPr>
        <w:t>、乙方可在甲方认可的银行营业网点、机具设备和特约商户使用贷记卡。乙方使用贷记卡存取现金、转账或消费时，应遵守适用法律，以及甲方、收单机构和银行卡组织的相关规定。</w:t>
      </w:r>
      <w:r>
        <w:rPr>
          <w:rFonts w:hint="eastAsia" w:ascii="新宋体" w:hAnsi="新宋体" w:eastAsia="新宋体"/>
          <w:b/>
          <w:bCs/>
          <w:sz w:val="24"/>
          <w:szCs w:val="24"/>
        </w:rPr>
        <w:t>甲方有权按适用法律或为保护持卡人权益，对乙方在特定机具设备或特约商户的贷记卡交易设定限制。</w:t>
      </w:r>
      <w:r>
        <w:rPr>
          <w:rFonts w:hint="eastAsia" w:ascii="新宋体" w:hAnsi="新宋体" w:eastAsia="新宋体"/>
          <w:sz w:val="24"/>
          <w:szCs w:val="24"/>
        </w:rPr>
        <w:t>乙方办理人民币或外币取现（含转账，下同），除受限于甲方核定的用于预借现金的授信额度和其他相关规定外，还应遵守适用法律、收单机构和银行卡组织的限额和规定。</w:t>
      </w:r>
      <w:r>
        <w:rPr>
          <w:rFonts w:hint="eastAsia" w:ascii="新宋体" w:hAnsi="新宋体" w:eastAsia="新宋体"/>
          <w:kern w:val="0"/>
          <w:sz w:val="23"/>
          <w:szCs w:val="23"/>
        </w:rPr>
        <w:t xml:space="preserve"> </w:t>
      </w:r>
    </w:p>
    <w:p>
      <w:pPr>
        <w:autoSpaceDE w:val="0"/>
        <w:autoSpaceDN w:val="0"/>
        <w:adjustRightInd w:val="0"/>
        <w:spacing w:line="360" w:lineRule="auto"/>
        <w:ind w:firstLine="460" w:firstLineChars="200"/>
        <w:jc w:val="left"/>
        <w:rPr>
          <w:rFonts w:hint="eastAsia" w:ascii="新宋体" w:hAnsi="新宋体" w:eastAsia="新宋体"/>
          <w:kern w:val="0"/>
          <w:sz w:val="23"/>
          <w:szCs w:val="23"/>
          <w:lang w:val="en-US" w:eastAsia="zh-CN"/>
        </w:rPr>
      </w:pPr>
      <w:r>
        <w:rPr>
          <w:rFonts w:hint="eastAsia" w:ascii="新宋体" w:hAnsi="新宋体" w:eastAsia="新宋体"/>
          <w:kern w:val="0"/>
          <w:sz w:val="23"/>
          <w:szCs w:val="23"/>
          <w:lang w:val="en-US" w:eastAsia="zh-CN"/>
        </w:rPr>
        <w:t>四、乙方或其附属卡持卡人通过甲方指定途径激活贷记卡后，该卡可支持电子支付（即网络支付），不同的网络支付业务可能需要乙方或其附属卡持卡人通过额外的身份验证方可正式开通，具体的身份识别方式、交易验证方式、交易规则等以相应网络支付业务协议约定为准。</w:t>
      </w:r>
    </w:p>
    <w:p>
      <w:pPr>
        <w:autoSpaceDE w:val="0"/>
        <w:autoSpaceDN w:val="0"/>
        <w:adjustRightInd w:val="0"/>
        <w:spacing w:line="360" w:lineRule="auto"/>
        <w:ind w:firstLine="480" w:firstLineChars="200"/>
        <w:jc w:val="left"/>
        <w:rPr>
          <w:rFonts w:hint="eastAsia" w:ascii="新宋体" w:hAnsi="新宋体" w:eastAsia="新宋体"/>
          <w:b/>
          <w:sz w:val="24"/>
          <w:szCs w:val="24"/>
        </w:rPr>
      </w:pPr>
      <w:r>
        <w:rPr>
          <w:rFonts w:hint="eastAsia" w:ascii="新宋体" w:hAnsi="新宋体" w:eastAsia="新宋体"/>
          <w:sz w:val="24"/>
          <w:szCs w:val="24"/>
          <w:lang w:val="en-US" w:eastAsia="zh-CN"/>
        </w:rPr>
        <w:t>五</w:t>
      </w:r>
      <w:r>
        <w:rPr>
          <w:rFonts w:hint="eastAsia" w:ascii="新宋体" w:hAnsi="新宋体" w:eastAsia="新宋体"/>
          <w:sz w:val="24"/>
          <w:szCs w:val="24"/>
        </w:rPr>
        <w:t>、贷记卡只限于乙方</w:t>
      </w:r>
      <w:r>
        <w:rPr>
          <w:rFonts w:hint="eastAsia" w:ascii="新宋体" w:hAnsi="新宋体" w:eastAsia="新宋体"/>
          <w:sz w:val="24"/>
          <w:szCs w:val="24"/>
          <w:lang w:val="en-US" w:eastAsia="zh-CN"/>
        </w:rPr>
        <w:t>及附属卡持卡人</w:t>
      </w:r>
      <w:r>
        <w:rPr>
          <w:rFonts w:hint="eastAsia" w:ascii="新宋体" w:hAnsi="新宋体" w:eastAsia="新宋体"/>
          <w:sz w:val="24"/>
          <w:szCs w:val="24"/>
        </w:rPr>
        <w:t>进行购买商品、接受服务消费、转账或提取现金。</w:t>
      </w:r>
      <w:r>
        <w:rPr>
          <w:rFonts w:hint="eastAsia" w:ascii="新宋体" w:hAnsi="新宋体" w:eastAsia="新宋体"/>
          <w:b/>
          <w:sz w:val="24"/>
          <w:szCs w:val="24"/>
        </w:rPr>
        <w:t>乙方及附属卡持卡人充分了解并清楚知晓出租、出借、出售、购买账户的相关法律责任和惩戒措施，承诺依法依规开立和使用本人账户，不用于电信网络诈骗、虚拟货币交易等违法违规交易；充分了解并知晓</w:t>
      </w:r>
      <w:r>
        <w:rPr>
          <w:rFonts w:hint="eastAsia" w:ascii="新宋体" w:hAnsi="新宋体" w:eastAsia="新宋体"/>
          <w:b/>
          <w:sz w:val="24"/>
          <w:szCs w:val="24"/>
          <w:lang w:eastAsia="zh-CN"/>
        </w:rPr>
        <w:t>贷记卡</w:t>
      </w:r>
      <w:r>
        <w:rPr>
          <w:rFonts w:hint="eastAsia" w:ascii="新宋体" w:hAnsi="新宋体" w:eastAsia="新宋体"/>
          <w:b/>
          <w:sz w:val="24"/>
          <w:szCs w:val="24"/>
        </w:rPr>
        <w:t>透支和分期资金仅可用于日常消费领域，不得用于偿还贷款（含偿还</w:t>
      </w:r>
      <w:r>
        <w:rPr>
          <w:rFonts w:hint="eastAsia" w:ascii="新宋体" w:hAnsi="新宋体" w:eastAsia="新宋体"/>
          <w:b/>
          <w:sz w:val="24"/>
          <w:szCs w:val="24"/>
          <w:lang w:eastAsia="zh-CN"/>
        </w:rPr>
        <w:t>贷记卡</w:t>
      </w:r>
      <w:r>
        <w:rPr>
          <w:rFonts w:hint="eastAsia" w:ascii="新宋体" w:hAnsi="新宋体" w:eastAsia="新宋体"/>
          <w:b/>
          <w:sz w:val="24"/>
          <w:szCs w:val="24"/>
        </w:rPr>
        <w:t>欠款）、购房、投资（包括但不限于股票、期货、理财、分红型保险</w:t>
      </w:r>
      <w:r>
        <w:rPr>
          <w:rFonts w:hint="eastAsia" w:ascii="新宋体" w:hAnsi="新宋体" w:eastAsia="新宋体"/>
          <w:b/>
          <w:sz w:val="24"/>
          <w:szCs w:val="24"/>
          <w:lang w:eastAsia="zh-CN"/>
        </w:rPr>
        <w:t>、</w:t>
      </w:r>
      <w:r>
        <w:rPr>
          <w:rFonts w:hint="eastAsia" w:ascii="新宋体" w:hAnsi="新宋体" w:eastAsia="新宋体"/>
          <w:b/>
          <w:sz w:val="24"/>
          <w:szCs w:val="24"/>
          <w:lang w:val="en-US" w:eastAsia="zh-CN"/>
        </w:rPr>
        <w:t>股本权益型投资</w:t>
      </w:r>
      <w:r>
        <w:rPr>
          <w:rFonts w:hint="eastAsia" w:ascii="新宋体" w:hAnsi="新宋体" w:eastAsia="新宋体"/>
          <w:b/>
          <w:sz w:val="24"/>
          <w:szCs w:val="24"/>
        </w:rPr>
        <w:t>）、生产经营（不含服务“三农”的惠农</w:t>
      </w:r>
      <w:r>
        <w:rPr>
          <w:rFonts w:hint="eastAsia" w:ascii="新宋体" w:hAnsi="新宋体" w:eastAsia="新宋体"/>
          <w:b/>
          <w:sz w:val="24"/>
          <w:szCs w:val="24"/>
          <w:lang w:eastAsia="zh-CN"/>
        </w:rPr>
        <w:t>贷记卡</w:t>
      </w:r>
      <w:r>
        <w:rPr>
          <w:rFonts w:hint="eastAsia" w:ascii="新宋体" w:hAnsi="新宋体" w:eastAsia="新宋体"/>
          <w:b/>
          <w:sz w:val="24"/>
          <w:szCs w:val="24"/>
        </w:rPr>
        <w:t xml:space="preserve">）等非消费领域（国家法律法规允许的除外），或流入政策限制或者禁止性领域。 </w:t>
      </w:r>
    </w:p>
    <w:p>
      <w:pPr>
        <w:autoSpaceDE w:val="0"/>
        <w:autoSpaceDN w:val="0"/>
        <w:adjustRightInd w:val="0"/>
        <w:spacing w:line="360" w:lineRule="auto"/>
        <w:ind w:firstLine="480" w:firstLineChars="200"/>
        <w:jc w:val="left"/>
        <w:rPr>
          <w:rFonts w:hint="eastAsia" w:ascii="新宋体" w:hAnsi="新宋体" w:eastAsia="新宋体"/>
          <w:sz w:val="24"/>
          <w:szCs w:val="24"/>
        </w:rPr>
      </w:pPr>
      <w:r>
        <w:rPr>
          <w:rFonts w:hint="eastAsia" w:ascii="新宋体" w:hAnsi="新宋体" w:eastAsia="新宋体"/>
          <w:sz w:val="24"/>
          <w:szCs w:val="24"/>
          <w:lang w:val="en-US" w:eastAsia="zh-CN"/>
        </w:rPr>
        <w:t>六</w:t>
      </w:r>
      <w:r>
        <w:rPr>
          <w:rFonts w:hint="eastAsia" w:ascii="新宋体" w:hAnsi="新宋体" w:eastAsia="新宋体"/>
          <w:sz w:val="24"/>
          <w:szCs w:val="24"/>
        </w:rPr>
        <w:t xml:space="preserve">、乙方应按甲方规定为贷记卡设定密码，并在不同场合分别使用相应的密码或其他方式确认交易。 </w:t>
      </w:r>
    </w:p>
    <w:p>
      <w:pPr>
        <w:autoSpaceDE w:val="0"/>
        <w:autoSpaceDN w:val="0"/>
        <w:adjustRightInd w:val="0"/>
        <w:spacing w:line="360" w:lineRule="auto"/>
        <w:ind w:firstLine="482" w:firstLineChars="200"/>
        <w:jc w:val="left"/>
        <w:rPr>
          <w:rFonts w:hint="eastAsia" w:ascii="新宋体" w:hAnsi="新宋体" w:eastAsia="新宋体"/>
          <w:b/>
          <w:bCs/>
          <w:sz w:val="24"/>
          <w:szCs w:val="24"/>
        </w:rPr>
      </w:pPr>
      <w:r>
        <w:rPr>
          <w:rFonts w:hint="eastAsia" w:ascii="新宋体" w:hAnsi="新宋体" w:eastAsia="新宋体"/>
          <w:b/>
          <w:bCs/>
          <w:sz w:val="24"/>
          <w:szCs w:val="24"/>
        </w:rPr>
        <w:t xml:space="preserve">1、凡按甲方规定及依乙方选择需使用密码的交易，包括但不限于取现、在特定范围内的刷卡消费等，以密码进行交易确认。 </w:t>
      </w:r>
    </w:p>
    <w:p>
      <w:pPr>
        <w:autoSpaceDE w:val="0"/>
        <w:autoSpaceDN w:val="0"/>
        <w:adjustRightInd w:val="0"/>
        <w:spacing w:line="360" w:lineRule="auto"/>
        <w:ind w:firstLine="482" w:firstLineChars="200"/>
        <w:jc w:val="left"/>
        <w:rPr>
          <w:rFonts w:hint="eastAsia" w:ascii="新宋体" w:hAnsi="新宋体" w:eastAsia="新宋体"/>
          <w:b/>
          <w:bCs/>
          <w:sz w:val="24"/>
          <w:szCs w:val="24"/>
        </w:rPr>
      </w:pPr>
      <w:r>
        <w:rPr>
          <w:rFonts w:hint="eastAsia" w:ascii="新宋体" w:hAnsi="新宋体" w:eastAsia="新宋体"/>
          <w:b/>
          <w:bCs/>
          <w:sz w:val="24"/>
          <w:szCs w:val="24"/>
        </w:rPr>
        <w:t>2、凡因交易性质或习惯，并按甲方规定或依乙方选择不使用密码的交易，包括但不限于电子现金、小额免密交易、授权通过第三方平台（如银联在线、</w:t>
      </w:r>
      <w:r>
        <w:rPr>
          <w:rFonts w:hint="eastAsia" w:ascii="新宋体" w:hAnsi="新宋体" w:eastAsia="新宋体"/>
          <w:b/>
          <w:bCs/>
          <w:sz w:val="24"/>
          <w:szCs w:val="24"/>
          <w:lang w:val="en-US" w:eastAsia="zh-CN"/>
        </w:rPr>
        <w:t>云闪付、</w:t>
      </w:r>
      <w:r>
        <w:rPr>
          <w:rFonts w:hint="eastAsia" w:ascii="新宋体" w:hAnsi="新宋体" w:eastAsia="新宋体"/>
          <w:b/>
          <w:bCs/>
          <w:sz w:val="24"/>
          <w:szCs w:val="24"/>
        </w:rPr>
        <w:t>支付宝、财付通</w:t>
      </w:r>
      <w:r>
        <w:rPr>
          <w:rFonts w:hint="eastAsia" w:ascii="新宋体" w:hAnsi="新宋体" w:eastAsia="新宋体"/>
          <w:b/>
          <w:bCs/>
          <w:sz w:val="24"/>
          <w:szCs w:val="24"/>
          <w:lang w:eastAsia="zh-CN"/>
        </w:rPr>
        <w:t>、</w:t>
      </w:r>
      <w:r>
        <w:rPr>
          <w:rFonts w:hint="eastAsia" w:ascii="新宋体" w:hAnsi="新宋体" w:eastAsia="新宋体"/>
          <w:b/>
          <w:bCs/>
          <w:sz w:val="24"/>
          <w:szCs w:val="24"/>
          <w:lang w:val="en-US" w:eastAsia="zh-CN"/>
        </w:rPr>
        <w:t>京东支付</w:t>
      </w:r>
      <w:r>
        <w:rPr>
          <w:rFonts w:hint="eastAsia" w:ascii="新宋体" w:hAnsi="新宋体" w:eastAsia="新宋体"/>
          <w:b/>
          <w:bCs/>
          <w:sz w:val="24"/>
          <w:szCs w:val="24"/>
        </w:rPr>
        <w:t xml:space="preserve">等）签约后的支付交易或委托代扣等协议支付的，各项交易所产生的信息记录均属于该项交易的有效凭据，如记载有持卡人姓名的交易凭证、凭贷记卡芯片/卡号等电子数据办理的交易所产生的信息记录等。 </w:t>
      </w:r>
    </w:p>
    <w:p>
      <w:pPr>
        <w:autoSpaceDE w:val="0"/>
        <w:autoSpaceDN w:val="0"/>
        <w:adjustRightInd w:val="0"/>
        <w:spacing w:line="360" w:lineRule="auto"/>
        <w:ind w:firstLine="482" w:firstLineChars="200"/>
        <w:jc w:val="left"/>
        <w:rPr>
          <w:rFonts w:hint="eastAsia" w:ascii="新宋体" w:hAnsi="新宋体" w:eastAsia="新宋体"/>
          <w:sz w:val="24"/>
          <w:szCs w:val="24"/>
        </w:rPr>
      </w:pPr>
      <w:r>
        <w:rPr>
          <w:rFonts w:hint="eastAsia" w:ascii="新宋体" w:hAnsi="新宋体" w:eastAsia="新宋体"/>
          <w:b/>
          <w:bCs/>
          <w:sz w:val="24"/>
          <w:szCs w:val="24"/>
        </w:rPr>
        <w:t>经密码或验证要素校验通过，交易即视为乙方本人所为并由乙方承担交易款项。</w:t>
      </w:r>
      <w:r>
        <w:rPr>
          <w:rFonts w:hint="eastAsia" w:ascii="新宋体" w:hAnsi="新宋体" w:eastAsia="新宋体"/>
          <w:sz w:val="24"/>
          <w:szCs w:val="24"/>
        </w:rPr>
        <w:t xml:space="preserve">特约商户、收单机构或甲方核验乙方签名，按行业通行的一般识别标准执行。 </w:t>
      </w:r>
    </w:p>
    <w:p>
      <w:pPr>
        <w:autoSpaceDE w:val="0"/>
        <w:autoSpaceDN w:val="0"/>
        <w:adjustRightInd w:val="0"/>
        <w:spacing w:line="360" w:lineRule="auto"/>
        <w:ind w:firstLine="480" w:firstLineChars="200"/>
        <w:jc w:val="left"/>
        <w:rPr>
          <w:rFonts w:hint="eastAsia" w:ascii="新宋体" w:hAnsi="新宋体" w:eastAsia="新宋体"/>
          <w:sz w:val="24"/>
          <w:szCs w:val="24"/>
        </w:rPr>
      </w:pPr>
      <w:r>
        <w:rPr>
          <w:rFonts w:hint="eastAsia" w:ascii="新宋体" w:hAnsi="新宋体" w:eastAsia="新宋体"/>
          <w:sz w:val="24"/>
          <w:szCs w:val="24"/>
        </w:rPr>
        <w:t xml:space="preserve">尽管有上述约定，若乙方未以上述方式确认交易（包括但不限于由特约商户主动发起的在银行卡组织规定范围内超出预授权的交易，以及按交易地法律和惯例产生的税金、小费和货币汇兑费用等），或交易确认有瑕疵，经甲方查证有相关书面资料、电话录音、电子数据等证明交易真实存在且经乙方明示或默示认可，或者乙方虽不认可但对交易发生有过错的，乙方不得以未按约定确认交易、交易确认有瑕疵等为由拒绝承担交易款项。 </w:t>
      </w:r>
    </w:p>
    <w:p>
      <w:pPr>
        <w:numPr>
          <w:ilvl w:val="0"/>
          <w:numId w:val="0"/>
        </w:numPr>
        <w:autoSpaceDE w:val="0"/>
        <w:autoSpaceDN w:val="0"/>
        <w:adjustRightInd w:val="0"/>
        <w:spacing w:line="360" w:lineRule="auto"/>
        <w:ind w:firstLine="480" w:firstLineChars="200"/>
        <w:jc w:val="left"/>
        <w:rPr>
          <w:rFonts w:hint="eastAsia" w:ascii="新宋体" w:hAnsi="新宋体" w:eastAsia="新宋体"/>
          <w:sz w:val="24"/>
          <w:szCs w:val="24"/>
        </w:rPr>
      </w:pPr>
      <w:r>
        <w:rPr>
          <w:rFonts w:hint="eastAsia" w:ascii="新宋体" w:hAnsi="新宋体" w:eastAsia="新宋体"/>
          <w:sz w:val="24"/>
          <w:szCs w:val="24"/>
          <w:lang w:val="en-US" w:eastAsia="zh-CN"/>
        </w:rPr>
        <w:t>七、乙方</w:t>
      </w:r>
      <w:r>
        <w:rPr>
          <w:rFonts w:hint="eastAsia" w:ascii="新宋体" w:hAnsi="新宋体" w:eastAsia="新宋体"/>
          <w:sz w:val="24"/>
          <w:szCs w:val="24"/>
        </w:rPr>
        <w:t>一经设置</w:t>
      </w:r>
      <w:r>
        <w:rPr>
          <w:rFonts w:hint="eastAsia" w:ascii="新宋体" w:hAnsi="新宋体" w:eastAsia="新宋体"/>
          <w:sz w:val="24"/>
          <w:szCs w:val="24"/>
          <w:lang w:val="en-US" w:eastAsia="zh-CN"/>
        </w:rPr>
        <w:t>贷记卡</w:t>
      </w:r>
      <w:r>
        <w:rPr>
          <w:rFonts w:hint="eastAsia" w:ascii="新宋体" w:hAnsi="新宋体" w:eastAsia="新宋体"/>
          <w:sz w:val="24"/>
          <w:szCs w:val="24"/>
        </w:rPr>
        <w:t>交易密码，则可使用预借现金功能，即可进行现金提取</w:t>
      </w:r>
      <w:r>
        <w:rPr>
          <w:rFonts w:hint="eastAsia" w:ascii="新宋体" w:hAnsi="新宋体" w:eastAsia="新宋体"/>
          <w:sz w:val="24"/>
          <w:szCs w:val="24"/>
          <w:lang w:val="en-US" w:eastAsia="zh-CN"/>
        </w:rPr>
        <w:t>和</w:t>
      </w:r>
      <w:r>
        <w:rPr>
          <w:rFonts w:hint="eastAsia" w:ascii="新宋体" w:hAnsi="新宋体" w:eastAsia="新宋体"/>
          <w:sz w:val="24"/>
          <w:szCs w:val="24"/>
        </w:rPr>
        <w:t>现金转账。</w:t>
      </w:r>
      <w:r>
        <w:rPr>
          <w:rFonts w:hint="eastAsia" w:ascii="新宋体" w:hAnsi="新宋体" w:eastAsia="新宋体"/>
          <w:sz w:val="24"/>
          <w:szCs w:val="24"/>
          <w:lang w:val="en-US" w:eastAsia="zh-CN"/>
        </w:rPr>
        <w:t>预借现金总金额不得超过贷记卡授信额度的50%。</w:t>
      </w:r>
      <w:r>
        <w:rPr>
          <w:rFonts w:hint="eastAsia" w:ascii="新宋体" w:hAnsi="新宋体" w:eastAsia="新宋体"/>
          <w:sz w:val="24"/>
          <w:szCs w:val="24"/>
        </w:rPr>
        <w:t>以</w:t>
      </w:r>
      <w:r>
        <w:rPr>
          <w:rFonts w:hint="eastAsia" w:ascii="新宋体" w:hAnsi="新宋体" w:eastAsia="新宋体"/>
          <w:sz w:val="24"/>
          <w:szCs w:val="24"/>
          <w:lang w:val="en-US" w:eastAsia="zh-CN"/>
        </w:rPr>
        <w:t>贷记卡</w:t>
      </w:r>
      <w:r>
        <w:rPr>
          <w:rFonts w:hint="eastAsia" w:ascii="新宋体" w:hAnsi="新宋体" w:eastAsia="新宋体"/>
          <w:sz w:val="24"/>
          <w:szCs w:val="24"/>
        </w:rPr>
        <w:t>办理预借现金交易不享受免息还款期待遇，由预借现金交易发生日起按甲方核给的对应期间的日利率计收利息至清偿日止，甲方按月计收复利，并按</w:t>
      </w:r>
      <w:r>
        <w:rPr>
          <w:rFonts w:hint="eastAsia" w:ascii="新宋体" w:hAnsi="新宋体" w:eastAsia="新宋体"/>
          <w:sz w:val="24"/>
          <w:szCs w:val="24"/>
          <w:lang w:val="en-US" w:eastAsia="zh-CN"/>
        </w:rPr>
        <w:t>贷记卡</w:t>
      </w:r>
      <w:r>
        <w:rPr>
          <w:rFonts w:hint="eastAsia" w:ascii="新宋体" w:hAnsi="新宋体" w:eastAsia="新宋体"/>
          <w:sz w:val="24"/>
          <w:szCs w:val="24"/>
        </w:rPr>
        <w:t>计费标准收取预借现金手续费。预借现金的起息日为预借现金交易发生日。</w:t>
      </w:r>
    </w:p>
    <w:p>
      <w:pPr>
        <w:autoSpaceDE w:val="0"/>
        <w:autoSpaceDN w:val="0"/>
        <w:adjustRightInd w:val="0"/>
        <w:spacing w:line="360" w:lineRule="auto"/>
        <w:ind w:firstLine="480" w:firstLineChars="200"/>
        <w:jc w:val="left"/>
        <w:rPr>
          <w:rFonts w:hint="eastAsia" w:ascii="新宋体" w:hAnsi="新宋体" w:eastAsia="新宋体"/>
          <w:sz w:val="24"/>
          <w:szCs w:val="24"/>
        </w:rPr>
      </w:pPr>
      <w:r>
        <w:rPr>
          <w:rFonts w:hint="eastAsia" w:ascii="新宋体" w:hAnsi="新宋体" w:eastAsia="新宋体"/>
          <w:sz w:val="24"/>
          <w:szCs w:val="24"/>
          <w:lang w:val="en-US" w:eastAsia="zh-CN"/>
        </w:rPr>
        <w:t>八、</w:t>
      </w:r>
      <w:r>
        <w:rPr>
          <w:rFonts w:hint="eastAsia" w:ascii="新宋体" w:hAnsi="新宋体" w:eastAsia="新宋体"/>
          <w:sz w:val="24"/>
          <w:szCs w:val="24"/>
        </w:rPr>
        <w:t xml:space="preserve">乙方与特约商户、办理取现业务的机构、联名贷记卡（含与第三方合作的认同卡、主题卡等，下同）的合作方（下称联名合作方）或其他相关方之间发生的交易纠纷应由纠纷各方自行解决，甲方不承担任何责任，乙方不得以纠纷为由拒绝偿还因贷记卡交易而产生的应还款项。 </w:t>
      </w:r>
    </w:p>
    <w:p>
      <w:pPr>
        <w:spacing w:line="360" w:lineRule="auto"/>
        <w:ind w:firstLine="480" w:firstLineChars="200"/>
        <w:rPr>
          <w:rFonts w:hint="eastAsia" w:ascii="新宋体" w:hAnsi="新宋体" w:eastAsia="新宋体"/>
          <w:b/>
          <w:sz w:val="24"/>
          <w:szCs w:val="24"/>
          <w:highlight w:val="none"/>
        </w:rPr>
      </w:pPr>
      <w:r>
        <w:rPr>
          <w:rFonts w:hint="eastAsia" w:ascii="新宋体" w:hAnsi="新宋体" w:eastAsia="新宋体"/>
          <w:sz w:val="24"/>
          <w:szCs w:val="24"/>
          <w:highlight w:val="none"/>
          <w:lang w:val="en-US" w:eastAsia="zh-CN"/>
        </w:rPr>
        <w:t>九</w:t>
      </w:r>
      <w:r>
        <w:rPr>
          <w:rFonts w:hint="eastAsia" w:ascii="新宋体" w:hAnsi="新宋体" w:eastAsia="新宋体"/>
          <w:sz w:val="24"/>
          <w:szCs w:val="24"/>
          <w:highlight w:val="none"/>
        </w:rPr>
        <w:t>、</w:t>
      </w:r>
      <w:r>
        <w:rPr>
          <w:rFonts w:hint="eastAsia" w:ascii="新宋体" w:hAnsi="新宋体" w:eastAsia="新宋体"/>
          <w:b/>
          <w:sz w:val="24"/>
          <w:szCs w:val="24"/>
          <w:highlight w:val="none"/>
        </w:rPr>
        <w:t>为便利持卡人的小额交易用卡，甲方发行的带有"闪付"或 "QuickPass" 标识的银联 IC卡</w:t>
      </w:r>
      <w:r>
        <w:rPr>
          <w:rFonts w:hint="eastAsia" w:ascii="新宋体" w:hAnsi="新宋体" w:eastAsia="新宋体"/>
          <w:b/>
          <w:sz w:val="24"/>
          <w:szCs w:val="24"/>
          <w:highlight w:val="none"/>
          <w:lang w:val="en-US" w:eastAsia="zh-CN"/>
        </w:rPr>
        <w:t>具备</w:t>
      </w:r>
      <w:r>
        <w:rPr>
          <w:rFonts w:hint="eastAsia" w:ascii="新宋体" w:hAnsi="新宋体" w:eastAsia="新宋体"/>
          <w:b/>
          <w:sz w:val="24"/>
          <w:szCs w:val="24"/>
          <w:highlight w:val="none"/>
        </w:rPr>
        <w:t>小额免密免签功能，乙方可自主选择通过柜面、手机银行等渠道</w:t>
      </w:r>
      <w:r>
        <w:rPr>
          <w:rFonts w:hint="eastAsia" w:ascii="新宋体" w:hAnsi="新宋体" w:eastAsia="新宋体"/>
          <w:b/>
          <w:sz w:val="24"/>
          <w:szCs w:val="24"/>
          <w:highlight w:val="none"/>
          <w:lang w:val="en-US" w:eastAsia="zh-CN"/>
        </w:rPr>
        <w:t>开通或</w:t>
      </w:r>
      <w:r>
        <w:rPr>
          <w:rFonts w:hint="eastAsia" w:ascii="新宋体" w:hAnsi="新宋体" w:eastAsia="新宋体"/>
          <w:b/>
          <w:sz w:val="24"/>
          <w:szCs w:val="24"/>
          <w:highlight w:val="none"/>
        </w:rPr>
        <w:t>关闭小额免密免签功能。小额免密免签功能指的是持卡人在指定商户进行一定金额及以下的交易时，只需将卡片靠近受理终端感应区即可完成支付，无需验证密码也无需在打印凭证上签名。</w:t>
      </w:r>
      <w:r>
        <w:rPr>
          <w:rFonts w:hint="eastAsia" w:ascii="新宋体" w:hAnsi="新宋体" w:eastAsia="新宋体"/>
          <w:b/>
          <w:sz w:val="24"/>
          <w:szCs w:val="24"/>
          <w:highlight w:val="none"/>
          <w:lang w:val="en-US" w:eastAsia="zh-CN"/>
        </w:rPr>
        <w:t>小额免密免签交易视为本人交易，乙方需承担交易而产生的责任。</w:t>
      </w:r>
      <w:r>
        <w:rPr>
          <w:rFonts w:hint="eastAsia" w:ascii="新宋体" w:hAnsi="新宋体" w:eastAsia="新宋体"/>
          <w:b/>
          <w:sz w:val="24"/>
          <w:szCs w:val="24"/>
          <w:highlight w:val="none"/>
        </w:rPr>
        <w:t>小额免密免签功能的限额以甲方对外公布的限额为准并可经公告后调整。</w:t>
      </w:r>
    </w:p>
    <w:p>
      <w:pPr>
        <w:autoSpaceDE w:val="0"/>
        <w:autoSpaceDN w:val="0"/>
        <w:adjustRightInd w:val="0"/>
        <w:spacing w:line="360" w:lineRule="auto"/>
        <w:ind w:firstLine="480" w:firstLineChars="200"/>
        <w:jc w:val="left"/>
        <w:rPr>
          <w:rFonts w:hint="eastAsia" w:ascii="新宋体" w:hAnsi="新宋体" w:eastAsia="新宋体"/>
          <w:b/>
          <w:sz w:val="24"/>
          <w:szCs w:val="24"/>
        </w:rPr>
      </w:pPr>
      <w:r>
        <w:rPr>
          <w:rFonts w:hint="eastAsia" w:ascii="新宋体" w:hAnsi="新宋体" w:eastAsia="新宋体"/>
          <w:sz w:val="24"/>
          <w:szCs w:val="24"/>
          <w:lang w:val="en-US" w:eastAsia="zh-CN"/>
        </w:rPr>
        <w:t>十</w:t>
      </w:r>
      <w:r>
        <w:rPr>
          <w:rFonts w:hint="eastAsia" w:ascii="新宋体" w:hAnsi="新宋体" w:eastAsia="新宋体"/>
          <w:sz w:val="24"/>
          <w:szCs w:val="24"/>
        </w:rPr>
        <w:t>、</w:t>
      </w:r>
      <w:r>
        <w:rPr>
          <w:rFonts w:hint="eastAsia" w:ascii="新宋体" w:hAnsi="新宋体" w:eastAsia="新宋体"/>
          <w:b/>
          <w:sz w:val="24"/>
          <w:szCs w:val="24"/>
        </w:rPr>
        <w:t>乙方经甲方许可办理贷记卡分期付款、积分交易和兑换、电子现金或其他特殊业务，应遵守甲方另行发布的各项规则。</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bCs/>
          <w:sz w:val="24"/>
          <w:szCs w:val="24"/>
          <w:lang w:val="en-US" w:eastAsia="zh-CN"/>
        </w:rPr>
        <w:t>十一</w:t>
      </w:r>
      <w:r>
        <w:rPr>
          <w:rFonts w:hint="eastAsia" w:ascii="新宋体" w:hAnsi="新宋体" w:eastAsia="新宋体"/>
          <w:bCs/>
          <w:sz w:val="24"/>
          <w:szCs w:val="24"/>
        </w:rPr>
        <w:t>、乙方因</w:t>
      </w:r>
      <w:r>
        <w:rPr>
          <w:rFonts w:hint="eastAsia" w:ascii="新宋体" w:hAnsi="新宋体" w:eastAsia="新宋体"/>
          <w:sz w:val="24"/>
          <w:szCs w:val="24"/>
        </w:rPr>
        <w:t>不当使用贷记卡或甲方提供的装置或其他有关装置而直接或间接蒙受的损失或损害，甲方不承担责任。</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十二、</w:t>
      </w:r>
      <w:r>
        <w:rPr>
          <w:rFonts w:hint="eastAsia" w:ascii="新宋体" w:hAnsi="新宋体" w:eastAsia="新宋体"/>
          <w:sz w:val="24"/>
          <w:szCs w:val="24"/>
        </w:rPr>
        <w:t>乙方或其附属卡持卡人留存在甲方的个人资料信息发生变更时，其应及时致电甲方客户服务热线或在相关自助渠道修改，否则乙方及其附属卡持卡人应承担由此造成的不利后果。乙方或其附属卡持卡人未及时更新的，甲方根据风险管理需要，有权采取适当的管控措施，包括但不限于暂停、中止其账户使用、中止其业务办理等。因乙方或其附属卡持卡人未及时更新个人资料信息，或因乙方或其附属卡持卡人其他原因导致甲方在需要时无法及时联系上乙方或其附属卡持卡人的，由此产生的后果由乙方及其附属卡持卡人自行承担。</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十三</w:t>
      </w:r>
      <w:r>
        <w:rPr>
          <w:rFonts w:hint="eastAsia" w:ascii="新宋体" w:hAnsi="新宋体" w:eastAsia="新宋体"/>
          <w:sz w:val="24"/>
          <w:szCs w:val="24"/>
        </w:rPr>
        <w:t>、乙方应妥善保管贷记卡及其卡片信息（卡号、密码、有效期、安全码（签名条后三位）、交易凭证和身份证件等，</w:t>
      </w:r>
      <w:r>
        <w:rPr>
          <w:rFonts w:hint="eastAsia" w:ascii="新宋体" w:hAnsi="新宋体" w:eastAsia="新宋体"/>
          <w:b/>
          <w:sz w:val="24"/>
          <w:szCs w:val="24"/>
        </w:rPr>
        <w:t>乙方不得将贷记卡卡片、账户相关信息泄露给他人，且不得出租、出借、出售或以其他方式交由他人使用，否则应自行承担由此产生的损失和后果</w:t>
      </w:r>
      <w:r>
        <w:rPr>
          <w:rFonts w:hint="eastAsia" w:ascii="新宋体" w:hAnsi="新宋体" w:eastAsia="新宋体"/>
          <w:sz w:val="24"/>
          <w:szCs w:val="24"/>
        </w:rPr>
        <w:t>。</w:t>
      </w:r>
      <w:r>
        <w:rPr>
          <w:rFonts w:hint="eastAsia" w:ascii="新宋体" w:hAnsi="新宋体" w:eastAsia="新宋体"/>
          <w:b/>
          <w:sz w:val="24"/>
          <w:szCs w:val="24"/>
        </w:rPr>
        <w:t>甲方对经设区的市级及以上公安机关认定的出租、出借、出售、购买贷记卡的单位和个人及相关组织者，假冒他人身份或者虚构代理关系开立贷记卡的单位和个人，5年内暂停其贷记卡非柜面业务、支付业务，并不得为其新开立账户。</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b w:val="0"/>
          <w:bCs w:val="0"/>
          <w:sz w:val="24"/>
          <w:szCs w:val="24"/>
        </w:rPr>
        <w:t>十</w:t>
      </w:r>
      <w:r>
        <w:rPr>
          <w:rFonts w:hint="eastAsia" w:ascii="新宋体" w:hAnsi="新宋体" w:eastAsia="新宋体"/>
          <w:b w:val="0"/>
          <w:bCs w:val="0"/>
          <w:sz w:val="24"/>
          <w:szCs w:val="24"/>
          <w:lang w:val="en-US" w:eastAsia="zh-CN"/>
        </w:rPr>
        <w:t>四</w:t>
      </w:r>
      <w:r>
        <w:rPr>
          <w:rFonts w:hint="eastAsia" w:ascii="新宋体" w:hAnsi="新宋体" w:eastAsia="新宋体"/>
          <w:b w:val="0"/>
          <w:bCs w:val="0"/>
          <w:sz w:val="24"/>
          <w:szCs w:val="24"/>
        </w:rPr>
        <w:t>、</w:t>
      </w:r>
      <w:r>
        <w:rPr>
          <w:rFonts w:hint="eastAsia" w:ascii="新宋体" w:hAnsi="新宋体" w:eastAsia="新宋体"/>
          <w:b/>
          <w:bCs/>
          <w:sz w:val="24"/>
          <w:szCs w:val="24"/>
        </w:rPr>
        <w:t>贷记卡如遗失、被</w:t>
      </w:r>
      <w:r>
        <w:rPr>
          <w:rFonts w:hint="eastAsia" w:ascii="新宋体" w:hAnsi="新宋体" w:eastAsia="新宋体"/>
          <w:b/>
          <w:sz w:val="24"/>
          <w:szCs w:val="24"/>
        </w:rPr>
        <w:t>窃或遭乙方以外的他人占用，乙方应及时致电甲方客户服务热线（4008296008）办理挂失，挂失经甲方确认后即生效。凡挂失生效前发生的经济损失均由乙方承担。若乙方与他人合谋或有其他欺诈行为的，或者不配合甲方调查情况时，则由乙方承担所有损失。</w:t>
      </w:r>
    </w:p>
    <w:p>
      <w:pPr>
        <w:spacing w:line="360" w:lineRule="auto"/>
        <w:ind w:firstLine="482" w:firstLineChars="200"/>
        <w:rPr>
          <w:rFonts w:hint="eastAsia" w:ascii="新宋体" w:hAnsi="新宋体" w:eastAsia="新宋体"/>
          <w:b/>
          <w:bCs/>
          <w:sz w:val="24"/>
          <w:szCs w:val="24"/>
        </w:rPr>
      </w:pP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第三条 费用</w:t>
      </w:r>
    </w:p>
    <w:p>
      <w:pPr>
        <w:pStyle w:val="9"/>
        <w:spacing w:line="360" w:lineRule="auto"/>
        <w:ind w:firstLine="480"/>
        <w:rPr>
          <w:rFonts w:hint="eastAsia" w:ascii="新宋体" w:hAnsi="新宋体" w:eastAsia="新宋体"/>
          <w:b/>
          <w:sz w:val="24"/>
          <w:szCs w:val="24"/>
        </w:rPr>
      </w:pPr>
      <w:r>
        <w:rPr>
          <w:rFonts w:hint="eastAsia" w:ascii="新宋体" w:hAnsi="新宋体" w:eastAsia="新宋体"/>
          <w:sz w:val="24"/>
          <w:szCs w:val="24"/>
        </w:rPr>
        <w:t>一、</w:t>
      </w:r>
      <w:r>
        <w:rPr>
          <w:rFonts w:hint="eastAsia" w:ascii="新宋体" w:hAnsi="新宋体" w:eastAsia="新宋体"/>
          <w:b/>
          <w:sz w:val="24"/>
          <w:szCs w:val="24"/>
        </w:rPr>
        <w:t>甲方核准发贷记卡后，乙方激活卡使用，乙方应按甲方的规定缴纳年费，</w:t>
      </w:r>
      <w:r>
        <w:rPr>
          <w:rFonts w:hint="eastAsia" w:ascii="新宋体" w:hAnsi="新宋体" w:eastAsia="新宋体"/>
          <w:b/>
          <w:bCs/>
          <w:sz w:val="24"/>
          <w:szCs w:val="24"/>
        </w:rPr>
        <w:t>年费采取预收方式收取。</w:t>
      </w:r>
      <w:r>
        <w:rPr>
          <w:rFonts w:hint="eastAsia" w:ascii="新宋体" w:hAnsi="新宋体" w:eastAsia="新宋体"/>
          <w:b/>
          <w:sz w:val="24"/>
          <w:szCs w:val="24"/>
        </w:rPr>
        <w:t>具体收费标准以申请产品的宣传销售文本列明的收费标准执行，甲乙双方另有约定的除外。</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rPr>
        <w:t>二、</w:t>
      </w:r>
      <w:r>
        <w:rPr>
          <w:rFonts w:hint="eastAsia" w:ascii="新宋体" w:hAnsi="新宋体" w:eastAsia="新宋体"/>
          <w:b/>
          <w:sz w:val="24"/>
          <w:szCs w:val="24"/>
        </w:rPr>
        <w:t>乙方的非现金透支交易由银行记账日至到期还款日为免息还款期，贷记卡的免息还款期期限由甲方在法律法规允许的范围内确定。除非另有约定，乙方在到期还款日（含）18：00时前偿还当期对账单的全部款项的，即可享受免息还款期待遇，无须支付非现金透支交易的利息。</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三、乙方以贷记卡在自动柜员机或银行柜台提取现金或转账，按照境内预提现金或转账出个人账户手续费标准收取，收费标准为按交易金额的1%收取，最低3元（人民币）；境外ATM取款按每笔取现金额3%收取，最低20元（人民币）。提现交易如使用信用额度不享受免息还款期待遇，由银行记账日起按日计收利息至清偿日止，年化利率为</w:t>
      </w:r>
      <w:r>
        <w:rPr>
          <w:rFonts w:hint="eastAsia" w:ascii="新宋体" w:hAnsi="新宋体" w:eastAsia="新宋体"/>
          <w:b/>
          <w:bCs/>
          <w:sz w:val="24"/>
          <w:szCs w:val="24"/>
          <w:u w:val="single"/>
        </w:rPr>
        <w:t xml:space="preserve">18% </w:t>
      </w:r>
      <w:r>
        <w:rPr>
          <w:rFonts w:hint="eastAsia" w:ascii="新宋体" w:hAnsi="新宋体" w:eastAsia="新宋体"/>
          <w:b/>
          <w:bCs/>
          <w:sz w:val="24"/>
          <w:szCs w:val="24"/>
        </w:rPr>
        <w:t>，并按月计收复利(双方另有约定的除外)。</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四、乙方境外消费和提现所产生的其他货币交易与人民币兑换率依照中国银联相关规定办理。</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五、乙方一般不得超额使用信用额度，但因在临时调高信用额度期限届满前未归还欠款导致超过信用额度，或因利息、费用等其他原因导致超过信用额度的，属于超额用信，不适用免息还款期的规定，乙方应按全部交易的金额支付透支利息。</w:t>
      </w:r>
    </w:p>
    <w:p>
      <w:pPr>
        <w:pStyle w:val="9"/>
        <w:spacing w:line="360" w:lineRule="auto"/>
        <w:ind w:firstLine="480"/>
        <w:rPr>
          <w:rFonts w:hint="eastAsia" w:ascii="新宋体" w:hAnsi="新宋体" w:eastAsia="新宋体"/>
          <w:b/>
          <w:bCs/>
          <w:sz w:val="24"/>
          <w:szCs w:val="24"/>
        </w:rPr>
      </w:pPr>
      <w:r>
        <w:rPr>
          <w:rFonts w:hint="eastAsia" w:ascii="新宋体" w:hAnsi="新宋体" w:eastAsia="新宋体"/>
          <w:b/>
          <w:bCs/>
          <w:sz w:val="24"/>
          <w:szCs w:val="24"/>
        </w:rPr>
        <w:t>六、贷记卡损坏时，乙方可向甲方申请补发新卡，乙方应承担换卡手续费20元人民币/卡。甲乙双方另行约定的除外。</w:t>
      </w:r>
    </w:p>
    <w:p>
      <w:pPr>
        <w:spacing w:line="360" w:lineRule="auto"/>
        <w:ind w:firstLine="482" w:firstLineChars="200"/>
        <w:rPr>
          <w:rFonts w:hint="eastAsia" w:ascii="新宋体" w:hAnsi="新宋体" w:eastAsia="新宋体"/>
          <w:b/>
          <w:bCs/>
          <w:sz w:val="24"/>
          <w:szCs w:val="24"/>
          <w:highlight w:val="yellow"/>
        </w:rPr>
      </w:pPr>
      <w:r>
        <w:rPr>
          <w:rFonts w:hint="eastAsia" w:ascii="新宋体" w:hAnsi="新宋体" w:eastAsia="新宋体"/>
          <w:b/>
          <w:bCs/>
          <w:sz w:val="24"/>
          <w:szCs w:val="24"/>
        </w:rPr>
        <w:t>七、贷记卡挂失后，甲方根据乙方的需要为其办理补办新卡，并将贷记卡寄送给乙方，挂失手续费（不含补发新卡工本费）为30元人民币/卡，补发新卡工本费为20元人民币/卡。甲乙双方另有约定的除外。</w:t>
      </w:r>
    </w:p>
    <w:p>
      <w:pPr>
        <w:spacing w:line="360" w:lineRule="auto"/>
        <w:ind w:firstLine="482" w:firstLineChars="200"/>
        <w:rPr>
          <w:rFonts w:hint="eastAsia" w:ascii="新宋体" w:hAnsi="新宋体" w:eastAsia="新宋体"/>
          <w:b/>
          <w:bCs/>
          <w:sz w:val="24"/>
          <w:szCs w:val="24"/>
        </w:rPr>
      </w:pPr>
    </w:p>
    <w:p>
      <w:pPr>
        <w:spacing w:line="360" w:lineRule="auto"/>
        <w:ind w:firstLine="482" w:firstLineChars="200"/>
        <w:rPr>
          <w:rFonts w:hint="eastAsia" w:ascii="新宋体" w:hAnsi="新宋体" w:eastAsia="新宋体"/>
          <w:sz w:val="24"/>
          <w:szCs w:val="24"/>
        </w:rPr>
      </w:pPr>
      <w:r>
        <w:rPr>
          <w:rFonts w:hint="eastAsia" w:ascii="新宋体" w:hAnsi="新宋体" w:eastAsia="新宋体"/>
          <w:b/>
          <w:bCs/>
          <w:sz w:val="24"/>
          <w:szCs w:val="24"/>
        </w:rPr>
        <w:t>第四条 账单及还款</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rPr>
        <w:t>一、</w:t>
      </w:r>
      <w:r>
        <w:rPr>
          <w:rFonts w:hint="eastAsia" w:ascii="新宋体" w:hAnsi="新宋体" w:eastAsia="新宋体"/>
          <w:b/>
          <w:bCs/>
          <w:sz w:val="24"/>
          <w:szCs w:val="24"/>
          <w:highlight w:val="none"/>
        </w:rPr>
        <w:t>贷记卡</w:t>
      </w:r>
      <w:r>
        <w:rPr>
          <w:rFonts w:hint="eastAsia" w:ascii="新宋体" w:hAnsi="新宋体" w:eastAsia="新宋体"/>
          <w:b/>
          <w:bCs/>
          <w:sz w:val="24"/>
          <w:szCs w:val="24"/>
          <w:highlight w:val="none"/>
          <w:lang w:val="en-US" w:eastAsia="zh-CN"/>
        </w:rPr>
        <w:t>账户</w:t>
      </w:r>
      <w:r>
        <w:rPr>
          <w:rFonts w:hint="eastAsia" w:ascii="新宋体" w:hAnsi="新宋体" w:eastAsia="新宋体"/>
          <w:b/>
          <w:bCs/>
          <w:sz w:val="24"/>
          <w:szCs w:val="24"/>
          <w:highlight w:val="none"/>
        </w:rPr>
        <w:t>内的</w:t>
      </w:r>
      <w:r>
        <w:rPr>
          <w:rFonts w:hint="eastAsia" w:ascii="新宋体" w:hAnsi="新宋体" w:eastAsia="新宋体"/>
          <w:b/>
          <w:bCs/>
          <w:sz w:val="24"/>
          <w:szCs w:val="24"/>
          <w:highlight w:val="none"/>
          <w:lang w:val="en-US" w:eastAsia="zh-CN"/>
        </w:rPr>
        <w:t>存款、溢缴款、电子现金不计付利息</w:t>
      </w:r>
      <w:r>
        <w:rPr>
          <w:rFonts w:hint="eastAsia" w:ascii="新宋体" w:hAnsi="新宋体" w:eastAsia="新宋体"/>
          <w:b/>
          <w:bCs/>
          <w:sz w:val="24"/>
          <w:szCs w:val="24"/>
          <w:highlight w:val="none"/>
        </w:rPr>
        <w:t>，甲方向乙方收取的违约金、取现手续费、货币兑换费等服务费用不计收利息。若乙方欲领回贷记卡内全部或部分</w:t>
      </w:r>
      <w:r>
        <w:rPr>
          <w:rFonts w:hint="eastAsia" w:ascii="新宋体" w:hAnsi="新宋体" w:eastAsia="新宋体"/>
          <w:b/>
          <w:bCs/>
          <w:sz w:val="24"/>
          <w:szCs w:val="24"/>
          <w:highlight w:val="none"/>
          <w:lang w:val="en-US" w:eastAsia="zh-CN"/>
        </w:rPr>
        <w:t>溢缴款</w:t>
      </w:r>
      <w:r>
        <w:rPr>
          <w:rFonts w:hint="eastAsia" w:ascii="新宋体" w:hAnsi="新宋体" w:eastAsia="新宋体"/>
          <w:b/>
          <w:bCs/>
          <w:sz w:val="24"/>
          <w:szCs w:val="24"/>
          <w:highlight w:val="none"/>
        </w:rPr>
        <w:t>应通过甲方手机银行、柜面等渠道提取，自助设备提取</w:t>
      </w:r>
      <w:r>
        <w:rPr>
          <w:rFonts w:hint="eastAsia" w:ascii="新宋体" w:hAnsi="新宋体" w:eastAsia="新宋体"/>
          <w:b/>
          <w:bCs/>
          <w:sz w:val="24"/>
          <w:szCs w:val="24"/>
          <w:highlight w:val="none"/>
          <w:lang w:val="en-US" w:eastAsia="zh-CN"/>
        </w:rPr>
        <w:t>溢缴款</w:t>
      </w:r>
      <w:r>
        <w:rPr>
          <w:rFonts w:hint="eastAsia" w:ascii="新宋体" w:hAnsi="新宋体" w:eastAsia="新宋体"/>
          <w:b/>
          <w:bCs/>
          <w:sz w:val="24"/>
          <w:szCs w:val="24"/>
          <w:highlight w:val="none"/>
        </w:rPr>
        <w:t>需支付取现手续费，收费标准为按交易金额的1%收取，最低3元（人民币）。甲乙双方另有约定的除外。</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二、</w:t>
      </w:r>
      <w:r>
        <w:rPr>
          <w:rFonts w:hint="eastAsia" w:ascii="新宋体" w:hAnsi="新宋体" w:eastAsia="新宋体"/>
          <w:sz w:val="24"/>
          <w:szCs w:val="24"/>
        </w:rPr>
        <w:t>对有交易发生或虽未发生交易但账户有未清偿欠款的，甲方通过乙方预留的电子邮件地址提供当期对账单(不包含电子现金账户相关信息)或通过微信</w:t>
      </w:r>
      <w:r>
        <w:rPr>
          <w:rFonts w:hint="eastAsia" w:ascii="新宋体" w:hAnsi="新宋体" w:eastAsia="新宋体"/>
          <w:sz w:val="24"/>
          <w:szCs w:val="24"/>
          <w:lang w:val="en-US" w:eastAsia="zh-CN"/>
        </w:rPr>
        <w:t>公众号</w:t>
      </w:r>
      <w:r>
        <w:rPr>
          <w:rFonts w:hint="eastAsia" w:ascii="新宋体" w:hAnsi="新宋体" w:eastAsia="新宋体"/>
          <w:sz w:val="24"/>
          <w:szCs w:val="24"/>
        </w:rPr>
        <w:t>、手机短信等</w:t>
      </w:r>
      <w:r>
        <w:rPr>
          <w:rFonts w:hint="eastAsia" w:ascii="新宋体" w:hAnsi="新宋体" w:eastAsia="新宋体"/>
          <w:sz w:val="24"/>
          <w:szCs w:val="24"/>
          <w:lang w:val="en-US" w:eastAsia="zh-CN"/>
        </w:rPr>
        <w:t>方式</w:t>
      </w:r>
      <w:r>
        <w:rPr>
          <w:rFonts w:hint="eastAsia" w:ascii="新宋体" w:hAnsi="新宋体" w:eastAsia="新宋体"/>
          <w:sz w:val="24"/>
          <w:szCs w:val="24"/>
        </w:rPr>
        <w:t>向乙方推送当期对账单，即视为向乙方通知到达。乙方应注意查收对账单，如未按时收到对账单，应向甲方发起查询，乙方不能以未收到对账单为由拒绝还款。</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乙方认可并同意，将不会因为未收到某一渠道的对账服务或无法使用某一渠道查询账单而认为没有获得对账服务，也不会因为未收到某一渠道的还款通知而认为没有获得还款通知服务。如乙方填写了电子邮箱，甲方将通过电子邮箱为乙方提供对账服务，乙方知悉，如其未填写电子邮箱或填写的电子邮箱有误等，则无法通过电子邮箱接收对账服务。乙方保证：其向甲方提供的手机号码是正确、完整、真实的并能正常接收甲方发送的通知等。乙方及/或其附属卡持卡人、保证人如发生工作变动、通讯地址或电话变更、电子邮箱或身份证件信息变更等，应当及时与甲方联系办理资料变更手续，否则，由此产生的损失由乙方及其附属卡持卡人承担。在紧急或甲方认为确有必要情况下，乙方同意甲方通过乙方提供的联系人向乙方转告与本《合约》相关的信息，视为甲方对乙方履行了相关告知义务。</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如因电子邮箱容量限制、互联网故障、个人电脑故障、移动端故障、持卡人取消关注甲方微信公众号或解除</w:t>
      </w:r>
      <w:r>
        <w:rPr>
          <w:rFonts w:hint="eastAsia" w:ascii="新宋体" w:hAnsi="新宋体" w:eastAsia="新宋体"/>
          <w:sz w:val="24"/>
          <w:szCs w:val="24"/>
          <w:lang w:val="en-US" w:eastAsia="zh-CN"/>
        </w:rPr>
        <w:t>贷记卡</w:t>
      </w:r>
      <w:r>
        <w:rPr>
          <w:rFonts w:hint="eastAsia" w:ascii="新宋体" w:hAnsi="新宋体" w:eastAsia="新宋体"/>
          <w:sz w:val="24"/>
          <w:szCs w:val="24"/>
        </w:rPr>
        <w:t>绑定、卸载手机银行或解除</w:t>
      </w:r>
      <w:r>
        <w:rPr>
          <w:rFonts w:hint="eastAsia" w:ascii="新宋体" w:hAnsi="新宋体" w:eastAsia="新宋体"/>
          <w:sz w:val="24"/>
          <w:szCs w:val="24"/>
          <w:lang w:val="en-US" w:eastAsia="zh-CN"/>
        </w:rPr>
        <w:t>贷记卡</w:t>
      </w:r>
      <w:r>
        <w:rPr>
          <w:rFonts w:hint="eastAsia" w:ascii="新宋体" w:hAnsi="新宋体" w:eastAsia="新宋体"/>
          <w:sz w:val="24"/>
          <w:szCs w:val="24"/>
        </w:rPr>
        <w:t>绑定等原因导致持卡人不能按时或正常收到电子对账服务的，将由持卡人承担相应法律责任及后果。</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三</w:t>
      </w:r>
      <w:r>
        <w:rPr>
          <w:rFonts w:hint="eastAsia" w:ascii="新宋体" w:hAnsi="新宋体" w:eastAsia="新宋体"/>
          <w:sz w:val="24"/>
          <w:szCs w:val="24"/>
        </w:rPr>
        <w:t>、</w:t>
      </w:r>
      <w:r>
        <w:rPr>
          <w:rFonts w:hint="eastAsia" w:ascii="新宋体" w:hAnsi="新宋体" w:eastAsia="新宋体"/>
          <w:b/>
          <w:sz w:val="24"/>
          <w:szCs w:val="24"/>
        </w:rPr>
        <w:t>乙方应及时、认真核对对账单内容，如未收到对账单应主动</w:t>
      </w:r>
      <w:r>
        <w:rPr>
          <w:rFonts w:hint="eastAsia" w:ascii="新宋体" w:hAnsi="新宋体" w:eastAsia="新宋体"/>
          <w:b/>
          <w:sz w:val="24"/>
          <w:szCs w:val="24"/>
          <w:lang w:val="en-US" w:eastAsia="zh-CN"/>
        </w:rPr>
        <w:t>通过</w:t>
      </w:r>
      <w:r>
        <w:rPr>
          <w:rFonts w:hint="eastAsia" w:ascii="新宋体" w:hAnsi="新宋体" w:eastAsia="新宋体"/>
          <w:b/>
          <w:sz w:val="24"/>
          <w:szCs w:val="24"/>
        </w:rPr>
        <w:t>手机银行或致电甲方客服热线查询对账单</w:t>
      </w:r>
      <w:r>
        <w:rPr>
          <w:rFonts w:hint="eastAsia" w:ascii="新宋体" w:hAnsi="新宋体" w:eastAsia="新宋体"/>
          <w:b/>
          <w:sz w:val="24"/>
          <w:szCs w:val="24"/>
          <w:lang w:eastAsia="zh-CN"/>
        </w:rPr>
        <w:t>。</w:t>
      </w:r>
      <w:r>
        <w:rPr>
          <w:rFonts w:hint="eastAsia" w:ascii="新宋体" w:hAnsi="新宋体" w:eastAsia="新宋体"/>
          <w:b/>
          <w:sz w:val="24"/>
          <w:szCs w:val="24"/>
        </w:rPr>
        <w:t>若在到期还款日前乙方未向甲方提出异议，则视同乙方已收到对账单并认可全部交易。乙方不得以未收到对账单、未接到通知为由拒付透支本息及相关费用</w:t>
      </w:r>
      <w:r>
        <w:rPr>
          <w:rFonts w:hint="eastAsia" w:ascii="新宋体" w:hAnsi="新宋体" w:eastAsia="新宋体"/>
          <w:b/>
          <w:sz w:val="24"/>
          <w:szCs w:val="24"/>
          <w:lang w:eastAsia="zh-CN"/>
        </w:rPr>
        <w:t>，并不会以未获得对账服务为由拒绝承担由此导致的征信记录不良后果</w:t>
      </w:r>
      <w:r>
        <w:rPr>
          <w:rFonts w:hint="eastAsia" w:ascii="新宋体" w:hAnsi="新宋体" w:eastAsia="新宋体"/>
          <w:b/>
          <w:sz w:val="24"/>
          <w:szCs w:val="24"/>
        </w:rPr>
        <w:t xml:space="preserve">。如乙方对交易有疑问的，有权在到期还款日前向甲方说明理由并提交甲方规定的相关证明材料，配合甲方对存在疑问的账务进行核查，并由乙方按照约定承担有关费用。甲方应予以查证并在收到核实申请之日起30日内给予答复，外币账户90日内给予答复。对已提出异议的交易，在核查结果确认前，乙方仍应按期偿还对账单所列应还款额。如未及时还款，可能影响乙方征信记录。因乙方在规定时限内无法提供相关证明材料或不配合甲方提供相关证明材料而导致的损失，由乙方自行承担。 经查证，如应由乙方承担责任的，有关交易款项及相关利息、费用由乙方承担；如不应由乙方承担责任的，甲方负责将有关交易款项退回，法律法规另有规定或双方另有约定的除外。 </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四</w:t>
      </w:r>
      <w:r>
        <w:rPr>
          <w:rFonts w:hint="eastAsia" w:ascii="新宋体" w:hAnsi="新宋体" w:eastAsia="新宋体"/>
          <w:sz w:val="24"/>
          <w:szCs w:val="24"/>
        </w:rPr>
        <w:t>、</w:t>
      </w:r>
      <w:r>
        <w:rPr>
          <w:rFonts w:hint="eastAsia" w:ascii="新宋体" w:hAnsi="新宋体" w:eastAsia="新宋体"/>
          <w:b/>
          <w:sz w:val="24"/>
          <w:szCs w:val="24"/>
        </w:rPr>
        <w:t>乙方有权要求对不符的账务进行查对，但应说明理由并按甲方要求提供证明文件，或请求甲方向收单机构调阅签账单或退款单，如经查询交易确为乙方所为，乙方须支付调阅签账单手续费：调阅境内消费签账单25元人民币/份，调阅境外消费签账单100元人民币/份。</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五</w:t>
      </w:r>
      <w:r>
        <w:rPr>
          <w:rFonts w:hint="eastAsia" w:ascii="新宋体" w:hAnsi="新宋体" w:eastAsia="新宋体"/>
          <w:sz w:val="24"/>
          <w:szCs w:val="24"/>
        </w:rPr>
        <w:t>、乙方应在到期还款日之前及时偿还欠款。乙方可选择全额或最低还款额还款方式。乙方贷记卡账户的透支欠款可以人民币现金或从个人银行账户转账存入偿还。乙方可以选择以最低还款额方式还款，即于当期到期还款日之前将不低于最低还款额的款项偿还给甲方。</w:t>
      </w:r>
      <w:r>
        <w:rPr>
          <w:rFonts w:hint="eastAsia" w:ascii="新宋体" w:hAnsi="新宋体" w:eastAsia="新宋体"/>
          <w:b/>
          <w:bCs/>
          <w:sz w:val="24"/>
          <w:szCs w:val="24"/>
        </w:rPr>
        <w:t>选择最低还款额方式不享受免息还款期待遇，甲方对每笔交易按日计收从银行记账日起至还款日止的应付利息。</w:t>
      </w:r>
      <w:r>
        <w:rPr>
          <w:rFonts w:hint="eastAsia" w:ascii="新宋体" w:hAnsi="新宋体" w:eastAsia="新宋体"/>
          <w:b/>
          <w:sz w:val="24"/>
          <w:szCs w:val="24"/>
        </w:rPr>
        <w:t>年化利率为</w:t>
      </w:r>
      <w:r>
        <w:rPr>
          <w:rFonts w:hint="eastAsia" w:ascii="新宋体" w:hAnsi="新宋体" w:eastAsia="新宋体"/>
          <w:b/>
          <w:sz w:val="24"/>
          <w:szCs w:val="24"/>
          <w:u w:val="single"/>
        </w:rPr>
        <w:t>18%</w:t>
      </w:r>
      <w:r>
        <w:rPr>
          <w:rFonts w:hint="eastAsia" w:ascii="新宋体" w:hAnsi="新宋体" w:eastAsia="新宋体"/>
          <w:b/>
          <w:sz w:val="24"/>
          <w:szCs w:val="24"/>
        </w:rPr>
        <w:t>，并按月计收复利(双方另有约定的除外)</w:t>
      </w:r>
      <w:r>
        <w:rPr>
          <w:rFonts w:hint="eastAsia" w:ascii="新宋体" w:hAnsi="新宋体" w:eastAsia="新宋体"/>
          <w:sz w:val="24"/>
          <w:szCs w:val="24"/>
        </w:rPr>
        <w:t>。</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b w:val="0"/>
          <w:bCs w:val="0"/>
          <w:sz w:val="24"/>
          <w:szCs w:val="24"/>
          <w:lang w:val="en-US" w:eastAsia="zh-CN"/>
        </w:rPr>
        <w:t>六</w:t>
      </w:r>
      <w:r>
        <w:rPr>
          <w:rFonts w:hint="eastAsia" w:ascii="新宋体" w:hAnsi="新宋体" w:eastAsia="新宋体"/>
          <w:b w:val="0"/>
          <w:bCs w:val="0"/>
          <w:sz w:val="24"/>
          <w:szCs w:val="24"/>
        </w:rPr>
        <w:t>、</w:t>
      </w:r>
      <w:r>
        <w:rPr>
          <w:rFonts w:hint="eastAsia" w:ascii="新宋体" w:hAnsi="新宋体" w:eastAsia="新宋体"/>
          <w:b/>
          <w:bCs/>
          <w:sz w:val="24"/>
          <w:szCs w:val="24"/>
        </w:rPr>
        <w:t>乙方每期最低还款额指发卡机构规定的持卡人透支后应该偿还的最低金额，包括累计</w:t>
      </w:r>
      <w:r>
        <w:rPr>
          <w:rFonts w:hint="eastAsia" w:ascii="新宋体" w:hAnsi="新宋体" w:eastAsia="新宋体"/>
          <w:b/>
          <w:sz w:val="24"/>
          <w:szCs w:val="24"/>
        </w:rPr>
        <w:t>未还消费本金的一定比例，所有利息、超过信用额度的透支金额、取现本金和费用，以及以前月份最低还款额未还部分的总和，持卡人办理分期付款的，分期付款本期入账本金和本期入账利息全额计入当期最低还款额。</w:t>
      </w:r>
    </w:p>
    <w:p>
      <w:pPr>
        <w:spacing w:line="360" w:lineRule="auto"/>
        <w:ind w:firstLine="480" w:firstLineChars="200"/>
        <w:rPr>
          <w:rFonts w:hint="eastAsia" w:ascii="新宋体" w:hAnsi="新宋体" w:eastAsia="新宋体"/>
          <w:bCs/>
          <w:kern w:val="0"/>
          <w:sz w:val="28"/>
          <w:szCs w:val="28"/>
        </w:rPr>
      </w:pPr>
      <w:r>
        <w:rPr>
          <w:rFonts w:hint="eastAsia" w:ascii="新宋体" w:hAnsi="新宋体" w:eastAsia="新宋体"/>
          <w:b w:val="0"/>
          <w:bCs w:val="0"/>
          <w:sz w:val="24"/>
          <w:szCs w:val="24"/>
          <w:lang w:val="en-US" w:eastAsia="zh-CN"/>
        </w:rPr>
        <w:t>七</w:t>
      </w:r>
      <w:r>
        <w:rPr>
          <w:rFonts w:hint="eastAsia" w:ascii="新宋体" w:hAnsi="新宋体" w:eastAsia="新宋体"/>
          <w:b w:val="0"/>
          <w:bCs w:val="0"/>
          <w:sz w:val="24"/>
          <w:szCs w:val="24"/>
        </w:rPr>
        <w:t>、</w:t>
      </w:r>
      <w:r>
        <w:rPr>
          <w:rFonts w:hint="eastAsia" w:ascii="新宋体" w:hAnsi="新宋体" w:eastAsia="新宋体"/>
          <w:b/>
          <w:bCs/>
          <w:sz w:val="24"/>
          <w:szCs w:val="24"/>
        </w:rPr>
        <w:t>乙</w:t>
      </w:r>
      <w:r>
        <w:rPr>
          <w:rFonts w:hint="eastAsia" w:ascii="新宋体" w:hAnsi="新宋体" w:eastAsia="新宋体"/>
          <w:b/>
          <w:sz w:val="24"/>
          <w:szCs w:val="24"/>
        </w:rPr>
        <w:t>方如到期还款日前未还清当期最低还款额或延误还款，除按上述计息方法支付应付利息外，还应按最低还款额未还部分的百分之五支付违约金（双方另行约定的除外）。</w:t>
      </w:r>
      <w:r>
        <w:rPr>
          <w:rFonts w:hint="eastAsia" w:ascii="新宋体" w:hAnsi="新宋体" w:eastAsia="新宋体"/>
          <w:sz w:val="24"/>
          <w:szCs w:val="24"/>
        </w:rPr>
        <w:t>甲方对乙方拖欠还款的行为，有权停止乙方贷记卡的使用。乙方如同时持有两张以上的贷记卡，其每期最低还款额为其持有的各卡的最低还款额的总和。最低还款额金额以对账单显示金额为准。</w:t>
      </w:r>
      <w:r>
        <w:rPr>
          <w:rFonts w:hint="eastAsia" w:ascii="新宋体" w:hAnsi="新宋体" w:eastAsia="新宋体"/>
          <w:bCs/>
          <w:kern w:val="0"/>
          <w:sz w:val="28"/>
          <w:szCs w:val="28"/>
        </w:rPr>
        <w:t xml:space="preserve"> </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八</w:t>
      </w:r>
      <w:r>
        <w:rPr>
          <w:rFonts w:hint="eastAsia" w:ascii="新宋体" w:hAnsi="新宋体" w:eastAsia="新宋体"/>
          <w:sz w:val="24"/>
          <w:szCs w:val="24"/>
        </w:rPr>
        <w:t>、乙方如选择使用自动转账还款服务的，乙方在此授权甲方于每月到期还款日从乙方指定扣款账户（乙方在甲方开立的借记存款账户）按约定还款方式扣款，转入其贷记卡账户以清偿欠款。</w:t>
      </w:r>
      <w:r>
        <w:rPr>
          <w:rFonts w:hint="eastAsia" w:ascii="新宋体" w:hAnsi="新宋体" w:eastAsia="新宋体"/>
          <w:b/>
          <w:sz w:val="24"/>
          <w:szCs w:val="24"/>
        </w:rPr>
        <w:t>该指定扣款账户须为乙方主卡持卡人本人在甲方开设的实名个人银行账户，否则由此而产生的一切损失和责任由乙方承担。</w:t>
      </w:r>
      <w:r>
        <w:rPr>
          <w:rFonts w:hint="eastAsia" w:ascii="新宋体" w:hAnsi="新宋体" w:eastAsia="新宋体"/>
          <w:sz w:val="24"/>
          <w:szCs w:val="24"/>
        </w:rPr>
        <w:t>乙方通过贷记卡申请表、柜面、手机银行等渠道完成身份认证后的申请，均视为本人的有效授权。如指定扣款账户发生变化，乙方应主动与甲方联系并重新确定。如乙方填写的指定扣款账户为开立在甲方的借记卡，且该卡发生补卡、换卡等，可能会导致扣款失败，乙方在发卡补卡或换卡时应及时更新扣款账号。乙方每期的贷记卡对账单记载的全部应还款额或最低还款额是自动还款服务中计算每月扣款金额的合法有效依据，因此而生成的扣款指令的电子信息记录为甲方进行扣款的有效凭据。</w:t>
      </w:r>
      <w:r>
        <w:rPr>
          <w:rFonts w:hint="eastAsia" w:ascii="新宋体" w:hAnsi="新宋体" w:eastAsia="新宋体"/>
          <w:b/>
          <w:sz w:val="24"/>
          <w:szCs w:val="24"/>
        </w:rPr>
        <w:t>乙方应确保指定扣款账户在每月到期还款日当日有充足的资金，若因指定扣款账户余额不足或账户状态发生变化而导致扣款不足或不成功，由此产生的</w:t>
      </w:r>
      <w:r>
        <w:rPr>
          <w:rFonts w:hint="eastAsia" w:ascii="新宋体" w:hAnsi="新宋体" w:eastAsia="新宋体"/>
          <w:b/>
          <w:sz w:val="24"/>
          <w:szCs w:val="24"/>
          <w:lang w:val="en-US" w:eastAsia="zh-CN"/>
        </w:rPr>
        <w:t>违约金、透支</w:t>
      </w:r>
      <w:r>
        <w:rPr>
          <w:rFonts w:hint="eastAsia" w:ascii="新宋体" w:hAnsi="新宋体" w:eastAsia="新宋体"/>
          <w:b/>
          <w:sz w:val="24"/>
          <w:szCs w:val="24"/>
        </w:rPr>
        <w:t>利息</w:t>
      </w:r>
      <w:r>
        <w:rPr>
          <w:rFonts w:hint="eastAsia" w:ascii="新宋体" w:hAnsi="新宋体" w:eastAsia="新宋体"/>
          <w:b/>
          <w:sz w:val="24"/>
          <w:szCs w:val="24"/>
          <w:lang w:val="en-US" w:eastAsia="zh-CN"/>
        </w:rPr>
        <w:t>等款项</w:t>
      </w:r>
      <w:r>
        <w:rPr>
          <w:rFonts w:hint="eastAsia" w:ascii="新宋体" w:hAnsi="新宋体" w:eastAsia="新宋体"/>
          <w:b/>
          <w:sz w:val="24"/>
          <w:szCs w:val="24"/>
        </w:rPr>
        <w:t>由乙方承担。</w:t>
      </w:r>
      <w:r>
        <w:rPr>
          <w:rFonts w:hint="eastAsia" w:ascii="新宋体" w:hAnsi="新宋体" w:eastAsia="新宋体"/>
          <w:sz w:val="24"/>
          <w:szCs w:val="24"/>
        </w:rPr>
        <w:t>如贷记卡发生补换卡、卡片升降级等情况的，原绑定的扣款账户仍适用于新卡。若需取消或变更自动转账授权，乙方须在当期账单到期还款日前三日通过甲方柜面、网上银行、手机银行等渠道申请办理，否则甲方将无法确保该取消或变更能在当期生效。</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九</w:t>
      </w:r>
      <w:r>
        <w:rPr>
          <w:rFonts w:hint="eastAsia" w:ascii="新宋体" w:hAnsi="新宋体" w:eastAsia="新宋体"/>
          <w:sz w:val="24"/>
          <w:szCs w:val="24"/>
        </w:rPr>
        <w:t>、</w:t>
      </w:r>
      <w:r>
        <w:rPr>
          <w:rFonts w:hint="eastAsia" w:ascii="新宋体" w:hAnsi="新宋体" w:eastAsia="新宋体"/>
          <w:b/>
          <w:sz w:val="24"/>
          <w:szCs w:val="24"/>
        </w:rPr>
        <w:t>乙方还款入账日以款项到达其贷记账户日为准，乙方在甲方开设多个贷记卡账户的，某一账户的溢缴款不能自动用于抵偿另一账户所欠款项。甲方收到乙方还款时，按照以下顺序对其贷记卡账户的各项欠款进行冲还：</w:t>
      </w:r>
      <w:r>
        <w:rPr>
          <w:rFonts w:hint="eastAsia" w:ascii="新宋体" w:hAnsi="新宋体" w:eastAsia="新宋体"/>
          <w:b/>
          <w:sz w:val="24"/>
          <w:szCs w:val="24"/>
          <w:highlight w:val="none"/>
        </w:rPr>
        <w:t>账户状态正常或逾期1-90日（含）的，按照先应收利息、费用、后本金的顺序进行冲还；逾期91日以上的，按照先本金、后费用、应收利息的顺序进行冲还。</w:t>
      </w:r>
      <w:r>
        <w:rPr>
          <w:rFonts w:hint="eastAsia" w:ascii="新宋体" w:hAnsi="新宋体" w:eastAsia="新宋体"/>
          <w:b/>
          <w:sz w:val="24"/>
          <w:szCs w:val="24"/>
        </w:rPr>
        <w:t xml:space="preserve">已计入账单的欠款优先未计入账单的欠款冲还。甲方保留根据法律法规变更上述顺序的权利。 </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十</w:t>
      </w:r>
      <w:r>
        <w:rPr>
          <w:rFonts w:hint="eastAsia" w:ascii="新宋体" w:hAnsi="新宋体" w:eastAsia="新宋体"/>
          <w:sz w:val="24"/>
          <w:szCs w:val="24"/>
        </w:rPr>
        <w:t>、</w:t>
      </w:r>
      <w:r>
        <w:rPr>
          <w:rFonts w:hint="eastAsia" w:ascii="新宋体" w:hAnsi="新宋体" w:eastAsia="新宋体"/>
          <w:b/>
          <w:sz w:val="24"/>
          <w:szCs w:val="24"/>
        </w:rPr>
        <w:t>如乙方未</w:t>
      </w:r>
      <w:r>
        <w:rPr>
          <w:rFonts w:hint="eastAsia" w:ascii="新宋体" w:hAnsi="新宋体" w:eastAsia="新宋体"/>
          <w:b/>
          <w:sz w:val="24"/>
          <w:szCs w:val="24"/>
          <w:lang w:val="en-US" w:eastAsia="zh-CN"/>
        </w:rPr>
        <w:t>依约还款或存在其他未偿还的贷记卡账款（如透支利息、违约金等），将在乙方本人的征信报告中予以体现，且乙方知悉并同意：</w:t>
      </w:r>
      <w:r>
        <w:rPr>
          <w:rFonts w:hint="eastAsia" w:ascii="新宋体" w:hAnsi="新宋体" w:eastAsia="新宋体"/>
          <w:b/>
          <w:sz w:val="24"/>
          <w:szCs w:val="24"/>
        </w:rPr>
        <w:t>甲方有权自行或委托第三方通过电话、信函、短信、上门、公告或司法途径等方式向乙方或（及）担保人催收欠款，联系乙方的联系人、近亲属及工作单位等，甲方不得向与债务无关的第三方催收以及泄露客户信息。乙方同意甲方从乙方在甲方任何机构开立的账户中扣收欠款，甲方不需对此承担责任并同时保留继续追索的权利。若采取此种方式偿还贷记卡欠款时需要将一种货币兑换成另一种货币，甲方有权按惯例予以兑换，乙方应负担因此可能产生的所有汇兑风险、损失、佣金及其他收费。乙方应赔偿甲方因催收而产生的相关费用及损失（包括诉讼费、律师费、公告费等为实现债权产生的一切费用）。由于乙方未按时还款造成其信用记录受到影响的，由乙方自行承担责任。</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rPr>
        <w:t>十</w:t>
      </w:r>
      <w:r>
        <w:rPr>
          <w:rFonts w:hint="eastAsia" w:ascii="新宋体" w:hAnsi="新宋体" w:eastAsia="新宋体"/>
          <w:sz w:val="24"/>
          <w:szCs w:val="24"/>
          <w:lang w:val="en-US" w:eastAsia="zh-CN"/>
        </w:rPr>
        <w:t>一</w:t>
      </w:r>
      <w:r>
        <w:rPr>
          <w:rFonts w:hint="eastAsia" w:ascii="新宋体" w:hAnsi="新宋体" w:eastAsia="新宋体"/>
          <w:sz w:val="24"/>
          <w:szCs w:val="24"/>
        </w:rPr>
        <w:t>、</w:t>
      </w:r>
      <w:r>
        <w:rPr>
          <w:rFonts w:hint="eastAsia" w:ascii="新宋体" w:hAnsi="新宋体" w:eastAsia="新宋体"/>
          <w:b/>
          <w:sz w:val="24"/>
          <w:szCs w:val="24"/>
        </w:rPr>
        <w:t>乙方若未依约或有违规、欺诈行为造成甲方经济损失，均由乙方承担赔偿责任，甲方有权将乙方在本行的其他账户的存款以及其他抵质押物用来清偿债务，并保留依照法律程序进行追索的权利。</w:t>
      </w:r>
    </w:p>
    <w:p>
      <w:pPr>
        <w:spacing w:line="360" w:lineRule="auto"/>
        <w:ind w:firstLine="482" w:firstLineChars="200"/>
        <w:rPr>
          <w:rFonts w:hint="eastAsia" w:ascii="新宋体" w:hAnsi="新宋体" w:eastAsia="新宋体"/>
          <w:b/>
          <w:sz w:val="24"/>
          <w:szCs w:val="24"/>
        </w:rPr>
      </w:pPr>
    </w:p>
    <w:p>
      <w:pPr>
        <w:spacing w:line="360" w:lineRule="auto"/>
        <w:ind w:firstLine="482" w:firstLineChars="200"/>
        <w:rPr>
          <w:rFonts w:hint="eastAsia" w:ascii="新宋体" w:hAnsi="新宋体" w:eastAsia="新宋体"/>
          <w:b/>
          <w:sz w:val="24"/>
          <w:szCs w:val="24"/>
        </w:rPr>
      </w:pPr>
      <w:r>
        <w:rPr>
          <w:rFonts w:hint="eastAsia" w:ascii="新宋体" w:hAnsi="新宋体" w:eastAsia="新宋体"/>
          <w:b/>
          <w:sz w:val="24"/>
          <w:szCs w:val="24"/>
        </w:rPr>
        <w:t>第五条 催收</w:t>
      </w:r>
    </w:p>
    <w:p>
      <w:pPr>
        <w:spacing w:line="360" w:lineRule="auto"/>
        <w:ind w:firstLine="420" w:firstLineChars="200"/>
        <w:rPr>
          <w:rFonts w:hint="eastAsia" w:ascii="新宋体" w:hAnsi="新宋体" w:eastAsia="新宋体"/>
          <w:sz w:val="24"/>
          <w:szCs w:val="24"/>
        </w:rPr>
      </w:pPr>
      <w:r>
        <w:rPr>
          <w:rFonts w:hint="eastAsia" w:ascii="新宋体" w:hAnsi="新宋体" w:eastAsia="新宋体"/>
        </w:rPr>
        <w:t xml:space="preserve"> </w:t>
      </w:r>
      <w:r>
        <w:rPr>
          <w:rFonts w:hint="eastAsia" w:ascii="新宋体" w:hAnsi="新宋体" w:eastAsia="新宋体"/>
          <w:sz w:val="24"/>
          <w:szCs w:val="24"/>
        </w:rPr>
        <w:t>一、乙方同意甲方以乙方资产直接抵偿贷记卡应收账款，国家法律法规另有规定的除外。</w:t>
      </w:r>
      <w:r>
        <w:rPr>
          <w:rFonts w:hint="eastAsia" w:ascii="新宋体" w:hAnsi="新宋体" w:eastAsia="新宋体"/>
          <w:b/>
          <w:sz w:val="24"/>
          <w:szCs w:val="24"/>
        </w:rPr>
        <w:t>乙方若未依约还款或有违规、欺诈行为造成甲方经济损失，甲方有权催收，依法追索并停止持卡人卡片之使用，甲方因此而支出的费用（包括但不限于律师费和诉讼费）均由乙方承担。乙方同意甲方</w:t>
      </w:r>
      <w:r>
        <w:rPr>
          <w:rFonts w:hint="eastAsia" w:ascii="新宋体" w:hAnsi="新宋体" w:eastAsia="新宋体"/>
          <w:b/>
          <w:sz w:val="24"/>
          <w:szCs w:val="24"/>
          <w:lang w:val="en-US" w:eastAsia="zh-CN"/>
        </w:rPr>
        <w:t>止付、</w:t>
      </w:r>
      <w:r>
        <w:rPr>
          <w:rFonts w:hint="eastAsia" w:ascii="新宋体" w:hAnsi="新宋体" w:eastAsia="新宋体"/>
          <w:b/>
          <w:sz w:val="24"/>
          <w:szCs w:val="24"/>
        </w:rPr>
        <w:t>扣划乙方在甲方的其他账户的存款以及处置其他抵质押物或乙方其他资产用来清偿</w:t>
      </w:r>
      <w:r>
        <w:rPr>
          <w:rFonts w:hint="eastAsia" w:ascii="新宋体" w:hAnsi="新宋体" w:eastAsia="新宋体"/>
          <w:b/>
          <w:sz w:val="24"/>
          <w:szCs w:val="24"/>
          <w:lang w:val="en-US" w:eastAsia="zh-CN"/>
        </w:rPr>
        <w:t>乙方使用贷记卡（含附属卡）而产生的全部债务，包括但不限于活期存款、定期存款、理财产品以及其他款项。</w:t>
      </w:r>
      <w:r>
        <w:rPr>
          <w:rFonts w:hint="eastAsia" w:ascii="新宋体" w:hAnsi="新宋体" w:eastAsia="新宋体"/>
          <w:b/>
          <w:sz w:val="24"/>
          <w:szCs w:val="24"/>
        </w:rPr>
        <w:t>如需扣划乙方未到期的定期存款或外币存款，由此引发的利息及汇兑损失由乙方自行承担。</w:t>
      </w:r>
      <w:r>
        <w:rPr>
          <w:rFonts w:hint="eastAsia" w:ascii="新宋体" w:hAnsi="新宋体" w:eastAsia="新宋体"/>
          <w:sz w:val="24"/>
          <w:szCs w:val="24"/>
        </w:rPr>
        <w:t>甲方同时保留依照法律程序进行追索的权利。</w:t>
      </w:r>
    </w:p>
    <w:p>
      <w:pPr>
        <w:spacing w:line="360" w:lineRule="auto"/>
        <w:rPr>
          <w:rFonts w:hint="eastAsia" w:ascii="新宋体" w:hAnsi="新宋体" w:eastAsia="新宋体"/>
          <w:b/>
          <w:sz w:val="24"/>
          <w:szCs w:val="24"/>
        </w:rPr>
      </w:pPr>
      <w:r>
        <w:rPr>
          <w:rFonts w:hint="eastAsia" w:ascii="新宋体" w:hAnsi="新宋体" w:eastAsia="新宋体"/>
          <w:sz w:val="24"/>
          <w:szCs w:val="24"/>
        </w:rPr>
        <w:t xml:space="preserve">    二、甲方有权通过电话、信函、手机短信、电子邮件、面访或司法渠道等方式自行或委托第三方向乙方直接催缴欠款，向乙方提供给甲方的联系人、近亲属及工作单位等要求代为转告催缴欠款事宜。在此情况下，甲方有权将必要的乙方身份信息及欠款账户信息提供给联系人、亲友、工作单位及其他代偿意愿人，甲方不得向与债务无关的第三方催收以及泄露客户信息。</w:t>
      </w:r>
      <w:r>
        <w:rPr>
          <w:rFonts w:hint="eastAsia" w:ascii="新宋体" w:hAnsi="新宋体" w:eastAsia="新宋体"/>
          <w:b/>
          <w:sz w:val="24"/>
          <w:szCs w:val="24"/>
        </w:rPr>
        <w:t>甲方在实现债权过程中发生的所有费用均由乙方承担，包括但不限于诉讼费、律师费、差旅费、鉴定评估费等。</w:t>
      </w:r>
    </w:p>
    <w:p>
      <w:pPr>
        <w:spacing w:line="360" w:lineRule="auto"/>
        <w:ind w:firstLine="480"/>
        <w:rPr>
          <w:rFonts w:hint="eastAsia" w:ascii="新宋体" w:hAnsi="新宋体" w:eastAsia="新宋体"/>
          <w:b/>
          <w:bCs/>
          <w:sz w:val="24"/>
          <w:szCs w:val="24"/>
        </w:rPr>
      </w:pPr>
    </w:p>
    <w:p>
      <w:pPr>
        <w:numPr>
          <w:ilvl w:val="0"/>
          <w:numId w:val="2"/>
        </w:numPr>
        <w:spacing w:line="360" w:lineRule="auto"/>
        <w:ind w:firstLine="480"/>
        <w:rPr>
          <w:rFonts w:hint="eastAsia" w:ascii="新宋体" w:hAnsi="新宋体" w:eastAsia="新宋体"/>
          <w:b/>
          <w:bCs/>
          <w:sz w:val="24"/>
          <w:szCs w:val="24"/>
          <w:lang w:val="en-US" w:eastAsia="zh-CN"/>
        </w:rPr>
      </w:pPr>
      <w:r>
        <w:rPr>
          <w:rFonts w:hint="eastAsia" w:ascii="新宋体" w:hAnsi="新宋体" w:eastAsia="新宋体"/>
          <w:b/>
          <w:bCs/>
          <w:sz w:val="24"/>
          <w:szCs w:val="24"/>
          <w:lang w:val="en-US" w:eastAsia="zh-CN"/>
        </w:rPr>
        <w:t>有效期及更新、更换</w:t>
      </w:r>
    </w:p>
    <w:p>
      <w:pPr>
        <w:numPr>
          <w:ilvl w:val="-1"/>
          <w:numId w:val="0"/>
        </w:numPr>
        <w:spacing w:line="360" w:lineRule="auto"/>
        <w:ind w:firstLine="482" w:firstLineChars="200"/>
        <w:rPr>
          <w:rFonts w:hint="eastAsia" w:ascii="新宋体" w:hAnsi="新宋体" w:eastAsia="新宋体"/>
          <w:b/>
          <w:bCs/>
          <w:sz w:val="24"/>
          <w:szCs w:val="24"/>
        </w:rPr>
      </w:pPr>
      <w:r>
        <w:rPr>
          <w:rFonts w:hint="eastAsia" w:ascii="新宋体" w:hAnsi="新宋体" w:eastAsia="新宋体"/>
          <w:b/>
          <w:sz w:val="24"/>
          <w:szCs w:val="24"/>
          <w:lang w:val="en-US" w:eastAsia="zh-CN"/>
        </w:rPr>
        <w:t>一、</w:t>
      </w:r>
      <w:r>
        <w:rPr>
          <w:rFonts w:hint="eastAsia" w:ascii="新宋体" w:hAnsi="新宋体" w:eastAsia="新宋体"/>
          <w:b/>
          <w:sz w:val="24"/>
          <w:szCs w:val="24"/>
        </w:rPr>
        <w:t>贷记卡有效期</w:t>
      </w:r>
      <w:r>
        <w:rPr>
          <w:rFonts w:hint="eastAsia" w:ascii="新宋体" w:hAnsi="新宋体" w:eastAsia="新宋体"/>
          <w:b/>
          <w:sz w:val="24"/>
          <w:szCs w:val="24"/>
          <w:lang w:val="en-US" w:eastAsia="zh-CN"/>
        </w:rPr>
        <w:t>最长</w:t>
      </w:r>
      <w:r>
        <w:rPr>
          <w:rFonts w:hint="eastAsia" w:ascii="新宋体" w:hAnsi="新宋体" w:eastAsia="新宋体"/>
          <w:b/>
          <w:sz w:val="24"/>
          <w:szCs w:val="24"/>
        </w:rPr>
        <w:t>为五年</w:t>
      </w:r>
      <w:r>
        <w:rPr>
          <w:rFonts w:hint="eastAsia" w:ascii="新宋体" w:hAnsi="新宋体" w:eastAsia="新宋体"/>
          <w:b/>
          <w:sz w:val="24"/>
          <w:szCs w:val="24"/>
          <w:lang w:eastAsia="zh-CN"/>
        </w:rPr>
        <w:t>，</w:t>
      </w:r>
      <w:r>
        <w:rPr>
          <w:rFonts w:hint="eastAsia" w:ascii="新宋体" w:hAnsi="新宋体" w:eastAsia="新宋体"/>
          <w:b/>
          <w:sz w:val="24"/>
          <w:szCs w:val="24"/>
          <w:lang w:val="en-US" w:eastAsia="zh-CN"/>
        </w:rPr>
        <w:t>过期自动失效</w:t>
      </w:r>
      <w:r>
        <w:rPr>
          <w:rFonts w:hint="eastAsia" w:ascii="新宋体" w:hAnsi="新宋体" w:eastAsia="新宋体"/>
          <w:b/>
          <w:sz w:val="24"/>
          <w:szCs w:val="24"/>
        </w:rPr>
        <w:t>。</w:t>
      </w:r>
      <w:r>
        <w:rPr>
          <w:rFonts w:hint="eastAsia" w:ascii="新宋体" w:hAnsi="新宋体" w:eastAsia="新宋体"/>
          <w:sz w:val="24"/>
          <w:szCs w:val="24"/>
        </w:rPr>
        <w:t>甲方将根据国家有关规定、乙方的资信状况、用卡情况及风险水平等，决定是否为乙方提供到期续卡服务</w:t>
      </w:r>
      <w:r>
        <w:rPr>
          <w:rFonts w:hint="eastAsia" w:ascii="新宋体" w:hAnsi="新宋体" w:eastAsia="新宋体"/>
          <w:sz w:val="24"/>
          <w:szCs w:val="24"/>
          <w:lang w:eastAsia="zh-CN"/>
        </w:rPr>
        <w:t>，</w:t>
      </w:r>
      <w:r>
        <w:rPr>
          <w:rFonts w:hint="eastAsia" w:ascii="新宋体" w:hAnsi="新宋体" w:eastAsia="新宋体"/>
          <w:sz w:val="24"/>
          <w:szCs w:val="24"/>
          <w:lang w:val="en-US" w:eastAsia="zh-CN"/>
        </w:rPr>
        <w:t>乙方提出到期不续卡、不换卡、销户的除外</w:t>
      </w:r>
      <w:r>
        <w:rPr>
          <w:rFonts w:hint="eastAsia" w:ascii="新宋体" w:hAnsi="新宋体" w:eastAsia="新宋体"/>
          <w:sz w:val="24"/>
          <w:szCs w:val="24"/>
          <w:lang w:eastAsia="zh-CN"/>
        </w:rPr>
        <w:t>。</w:t>
      </w:r>
      <w:r>
        <w:rPr>
          <w:rFonts w:hint="eastAsia" w:ascii="新宋体" w:hAnsi="新宋体" w:eastAsia="新宋体"/>
          <w:sz w:val="24"/>
          <w:szCs w:val="24"/>
        </w:rPr>
        <w:t>对有效期内未启用的卡片，甲方不提供到期续卡服务</w:t>
      </w:r>
      <w:r>
        <w:rPr>
          <w:rFonts w:hint="eastAsia" w:ascii="新宋体" w:hAnsi="新宋体" w:eastAsia="新宋体"/>
          <w:b/>
          <w:bCs/>
          <w:sz w:val="24"/>
          <w:szCs w:val="24"/>
        </w:rPr>
        <w:t>。</w:t>
      </w:r>
    </w:p>
    <w:p>
      <w:pPr>
        <w:numPr>
          <w:ilvl w:val="-1"/>
          <w:numId w:val="0"/>
        </w:numPr>
        <w:spacing w:line="360" w:lineRule="auto"/>
        <w:ind w:firstLine="482" w:firstLineChars="200"/>
        <w:rPr>
          <w:rFonts w:hint="eastAsia" w:ascii="新宋体" w:hAnsi="新宋体" w:eastAsia="新宋体"/>
          <w:sz w:val="24"/>
          <w:szCs w:val="24"/>
        </w:rPr>
      </w:pPr>
      <w:r>
        <w:rPr>
          <w:rFonts w:hint="eastAsia" w:ascii="新宋体" w:hAnsi="新宋体" w:eastAsia="新宋体"/>
          <w:b/>
          <w:bCs/>
          <w:sz w:val="24"/>
          <w:szCs w:val="24"/>
          <w:lang w:val="en-US" w:eastAsia="zh-CN"/>
        </w:rPr>
        <w:t>二、</w:t>
      </w:r>
      <w:r>
        <w:rPr>
          <w:rFonts w:hint="eastAsia" w:ascii="新宋体" w:hAnsi="新宋体" w:eastAsia="新宋体"/>
          <w:b/>
          <w:bCs/>
          <w:sz w:val="24"/>
          <w:szCs w:val="24"/>
        </w:rPr>
        <w:t>到期续卡服务由甲方主动提供，若乙方不愿到期换领新卡，应于贷记卡有效期到期前30日以书面或双方认可的其他形式通知甲方，否则，甲方视同乙方同意到期更换新卡并收取年费。</w:t>
      </w:r>
      <w:r>
        <w:rPr>
          <w:rFonts w:hint="eastAsia" w:ascii="新宋体" w:hAnsi="新宋体" w:eastAsia="新宋体"/>
          <w:sz w:val="24"/>
          <w:szCs w:val="24"/>
        </w:rPr>
        <w:t>更换新卡后，应根据本合约约定的方式进行解释和适用。若持卡人有存续的分期交易且不愿一次性结清账务的，甲方有权拒绝持卡人的到期不续卡、不换卡、销户申请。</w:t>
      </w:r>
    </w:p>
    <w:p>
      <w:pPr>
        <w:numPr>
          <w:ilvl w:val="-1"/>
          <w:numId w:val="0"/>
        </w:num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三、乙方</w:t>
      </w:r>
      <w:r>
        <w:rPr>
          <w:rFonts w:hint="eastAsia" w:ascii="新宋体" w:hAnsi="新宋体" w:eastAsia="新宋体"/>
          <w:sz w:val="24"/>
          <w:szCs w:val="24"/>
        </w:rPr>
        <w:t>同意，其使用的</w:t>
      </w:r>
      <w:r>
        <w:rPr>
          <w:rFonts w:hint="eastAsia" w:ascii="新宋体" w:hAnsi="新宋体" w:eastAsia="新宋体"/>
          <w:sz w:val="24"/>
          <w:szCs w:val="24"/>
          <w:lang w:val="en-US" w:eastAsia="zh-CN"/>
        </w:rPr>
        <w:t>贷记卡</w:t>
      </w:r>
      <w:r>
        <w:rPr>
          <w:rFonts w:hint="eastAsia" w:ascii="新宋体" w:hAnsi="新宋体" w:eastAsia="新宋体"/>
          <w:sz w:val="24"/>
          <w:szCs w:val="24"/>
        </w:rPr>
        <w:t>到期续卡或换卡时，甲方按照章程和本合约、业务需要或公示、通知内容确定为持卡人更换新卡片的卡种、卡片介质（包括但不限于实体卡更换为</w:t>
      </w:r>
      <w:r>
        <w:rPr>
          <w:rFonts w:hint="eastAsia" w:ascii="新宋体" w:hAnsi="新宋体" w:eastAsia="新宋体"/>
          <w:sz w:val="24"/>
          <w:szCs w:val="24"/>
          <w:lang w:val="en-US" w:eastAsia="zh-CN"/>
        </w:rPr>
        <w:t>虚拟</w:t>
      </w:r>
      <w:r>
        <w:rPr>
          <w:rFonts w:hint="eastAsia" w:ascii="新宋体" w:hAnsi="新宋体" w:eastAsia="新宋体"/>
          <w:sz w:val="24"/>
          <w:szCs w:val="24"/>
        </w:rPr>
        <w:t>卡）和有效期。持卡人激活新卡即视为持卡人同意该更换并接受更换后的</w:t>
      </w:r>
      <w:r>
        <w:rPr>
          <w:rFonts w:hint="eastAsia" w:ascii="新宋体" w:hAnsi="新宋体" w:eastAsia="新宋体"/>
          <w:sz w:val="24"/>
          <w:szCs w:val="24"/>
          <w:lang w:eastAsia="zh-CN"/>
        </w:rPr>
        <w:t>贷记卡</w:t>
      </w:r>
      <w:r>
        <w:rPr>
          <w:rFonts w:hint="eastAsia" w:ascii="新宋体" w:hAnsi="新宋体" w:eastAsia="新宋体"/>
          <w:sz w:val="24"/>
          <w:szCs w:val="24"/>
        </w:rPr>
        <w:t>。</w:t>
      </w:r>
    </w:p>
    <w:p>
      <w:pPr>
        <w:numPr>
          <w:ilvl w:val="-1"/>
          <w:numId w:val="0"/>
        </w:numPr>
        <w:spacing w:line="360" w:lineRule="auto"/>
        <w:ind w:firstLine="482" w:firstLineChars="200"/>
        <w:rPr>
          <w:rFonts w:hint="eastAsia" w:ascii="新宋体" w:hAnsi="新宋体" w:eastAsia="新宋体"/>
          <w:sz w:val="24"/>
          <w:szCs w:val="24"/>
        </w:rPr>
      </w:pPr>
      <w:r>
        <w:rPr>
          <w:rFonts w:hint="eastAsia" w:ascii="新宋体" w:hAnsi="新宋体" w:eastAsia="新宋体"/>
          <w:b/>
          <w:sz w:val="24"/>
          <w:szCs w:val="24"/>
          <w:lang w:val="en-US" w:eastAsia="zh-CN"/>
        </w:rPr>
        <w:t>四、</w:t>
      </w:r>
      <w:r>
        <w:rPr>
          <w:rFonts w:hint="eastAsia" w:ascii="新宋体" w:hAnsi="新宋体" w:eastAsia="新宋体"/>
          <w:b/>
          <w:sz w:val="24"/>
          <w:szCs w:val="24"/>
        </w:rPr>
        <w:t>乙方不更换新卡或中途停止用卡</w:t>
      </w:r>
      <w:r>
        <w:rPr>
          <w:rFonts w:hint="eastAsia" w:ascii="新宋体" w:hAnsi="新宋体" w:eastAsia="新宋体"/>
          <w:sz w:val="24"/>
          <w:szCs w:val="24"/>
        </w:rPr>
        <w:t>，须及时书面通知甲方，并申请办理销户手续，</w:t>
      </w:r>
      <w:r>
        <w:rPr>
          <w:rFonts w:hint="eastAsia" w:ascii="新宋体" w:hAnsi="新宋体" w:eastAsia="新宋体"/>
          <w:b/>
          <w:sz w:val="24"/>
          <w:szCs w:val="24"/>
        </w:rPr>
        <w:t>乙方未偿还的账款视为全部到期并须一次清偿</w:t>
      </w:r>
      <w:r>
        <w:rPr>
          <w:rFonts w:hint="eastAsia" w:ascii="新宋体" w:hAnsi="新宋体" w:eastAsia="新宋体"/>
          <w:sz w:val="24"/>
          <w:szCs w:val="24"/>
        </w:rPr>
        <w:t>，甲方受理乙方销户申请后按有关业务规定为乙方办理销户。</w:t>
      </w:r>
      <w:r>
        <w:rPr>
          <w:rFonts w:hint="eastAsia" w:ascii="新宋体" w:hAnsi="新宋体" w:eastAsia="新宋体"/>
          <w:b/>
          <w:sz w:val="24"/>
          <w:szCs w:val="24"/>
        </w:rPr>
        <w:t>乙方停止使用贷记卡或卡片有效期届满后乙方不再更换新卡时，其持有卡片期间所发生的债权债务关系仍然有效，甲方继续保留对贷记卡的管理权、追索权和按规定收取相关费用等权利</w:t>
      </w:r>
      <w:r>
        <w:rPr>
          <w:rFonts w:hint="eastAsia" w:ascii="新宋体" w:hAnsi="新宋体" w:eastAsia="新宋体"/>
          <w:sz w:val="24"/>
          <w:szCs w:val="24"/>
        </w:rPr>
        <w:t>。</w:t>
      </w:r>
    </w:p>
    <w:p>
      <w:pPr>
        <w:numPr>
          <w:ilvl w:val="0"/>
          <w:numId w:val="0"/>
        </w:numPr>
        <w:spacing w:line="360" w:lineRule="auto"/>
        <w:ind w:firstLine="480" w:firstLineChars="200"/>
        <w:rPr>
          <w:rFonts w:hint="default" w:ascii="新宋体" w:hAnsi="新宋体" w:eastAsia="新宋体"/>
          <w:b/>
          <w:bCs/>
          <w:sz w:val="24"/>
          <w:szCs w:val="24"/>
          <w:lang w:val="en-US" w:eastAsia="zh-CN"/>
        </w:rPr>
      </w:pPr>
      <w:r>
        <w:rPr>
          <w:rFonts w:hint="eastAsia" w:ascii="新宋体" w:hAnsi="新宋体" w:eastAsia="新宋体"/>
          <w:sz w:val="24"/>
          <w:szCs w:val="24"/>
          <w:lang w:val="en-US" w:eastAsia="zh-CN"/>
        </w:rPr>
        <w:t>五、</w:t>
      </w:r>
      <w:r>
        <w:rPr>
          <w:rFonts w:hint="eastAsia" w:ascii="新宋体" w:hAnsi="新宋体" w:eastAsia="新宋体"/>
          <w:sz w:val="24"/>
          <w:szCs w:val="24"/>
        </w:rPr>
        <w:t>章程、本合约及其他业务规定对已过期的</w:t>
      </w:r>
      <w:r>
        <w:rPr>
          <w:rFonts w:hint="eastAsia" w:ascii="新宋体" w:hAnsi="新宋体" w:eastAsia="新宋体"/>
          <w:sz w:val="24"/>
          <w:szCs w:val="24"/>
          <w:lang w:val="en-US" w:eastAsia="zh-CN"/>
        </w:rPr>
        <w:t>贷记</w:t>
      </w:r>
      <w:r>
        <w:rPr>
          <w:rFonts w:hint="eastAsia" w:ascii="新宋体" w:hAnsi="新宋体" w:eastAsia="新宋体"/>
          <w:sz w:val="24"/>
          <w:szCs w:val="24"/>
        </w:rPr>
        <w:t>卡继续有效，</w:t>
      </w:r>
      <w:r>
        <w:rPr>
          <w:rFonts w:hint="eastAsia" w:ascii="新宋体" w:hAnsi="新宋体" w:eastAsia="新宋体"/>
          <w:sz w:val="24"/>
          <w:szCs w:val="24"/>
          <w:lang w:val="en-US" w:eastAsia="zh-CN"/>
        </w:rPr>
        <w:t>甲方</w:t>
      </w:r>
      <w:r>
        <w:rPr>
          <w:rFonts w:hint="eastAsia" w:ascii="新宋体" w:hAnsi="新宋体" w:eastAsia="新宋体"/>
          <w:sz w:val="24"/>
          <w:szCs w:val="24"/>
        </w:rPr>
        <w:t>继续保留对已过期</w:t>
      </w:r>
      <w:r>
        <w:rPr>
          <w:rFonts w:hint="eastAsia" w:ascii="新宋体" w:hAnsi="新宋体" w:eastAsia="新宋体"/>
          <w:sz w:val="24"/>
          <w:szCs w:val="24"/>
          <w:lang w:val="en-US" w:eastAsia="zh-CN"/>
        </w:rPr>
        <w:t>贷记</w:t>
      </w:r>
      <w:r>
        <w:rPr>
          <w:rFonts w:hint="eastAsia" w:ascii="新宋体" w:hAnsi="新宋体" w:eastAsia="新宋体"/>
          <w:sz w:val="24"/>
          <w:szCs w:val="24"/>
        </w:rPr>
        <w:t>卡的管理权、追索权等权利。如因</w:t>
      </w:r>
      <w:r>
        <w:rPr>
          <w:rFonts w:hint="eastAsia" w:ascii="新宋体" w:hAnsi="新宋体" w:eastAsia="新宋体"/>
          <w:sz w:val="24"/>
          <w:szCs w:val="24"/>
          <w:lang w:val="en-US" w:eastAsia="zh-CN"/>
        </w:rPr>
        <w:t>甲方</w:t>
      </w:r>
      <w:r>
        <w:rPr>
          <w:rFonts w:hint="eastAsia" w:ascii="新宋体" w:hAnsi="新宋体" w:eastAsia="新宋体"/>
          <w:sz w:val="24"/>
          <w:szCs w:val="24"/>
        </w:rPr>
        <w:t>与合作单位、银行卡组织或公司合作终止等原因导致无法补换卡的，</w:t>
      </w:r>
      <w:r>
        <w:rPr>
          <w:rFonts w:hint="eastAsia" w:ascii="新宋体" w:hAnsi="新宋体" w:eastAsia="新宋体"/>
          <w:sz w:val="24"/>
          <w:szCs w:val="24"/>
          <w:lang w:val="en-US" w:eastAsia="zh-CN"/>
        </w:rPr>
        <w:t>甲方</w:t>
      </w:r>
      <w:r>
        <w:rPr>
          <w:rFonts w:hint="eastAsia" w:ascii="新宋体" w:hAnsi="新宋体" w:eastAsia="新宋体"/>
          <w:sz w:val="24"/>
          <w:szCs w:val="24"/>
        </w:rPr>
        <w:t>可发放其他同信用等级卡片。</w:t>
      </w:r>
    </w:p>
    <w:p>
      <w:pPr>
        <w:numPr>
          <w:ilvl w:val="0"/>
          <w:numId w:val="0"/>
        </w:numPr>
        <w:spacing w:line="360" w:lineRule="auto"/>
        <w:ind w:firstLine="480"/>
        <w:rPr>
          <w:rFonts w:hint="default" w:ascii="新宋体" w:hAnsi="新宋体" w:eastAsia="新宋体"/>
          <w:b/>
          <w:bCs/>
          <w:sz w:val="24"/>
          <w:szCs w:val="24"/>
          <w:lang w:val="en-US" w:eastAsia="zh-CN"/>
        </w:rPr>
      </w:pPr>
    </w:p>
    <w:p>
      <w:pPr>
        <w:numPr>
          <w:ilvl w:val="0"/>
          <w:numId w:val="2"/>
        </w:numPr>
        <w:spacing w:line="360" w:lineRule="auto"/>
        <w:ind w:firstLine="480"/>
        <w:rPr>
          <w:rFonts w:hint="eastAsia" w:ascii="新宋体" w:hAnsi="新宋体" w:eastAsia="新宋体"/>
          <w:b/>
          <w:bCs/>
          <w:sz w:val="24"/>
          <w:szCs w:val="24"/>
        </w:rPr>
      </w:pPr>
      <w:r>
        <w:rPr>
          <w:rFonts w:hint="eastAsia" w:ascii="新宋体" w:hAnsi="新宋体" w:eastAsia="新宋体"/>
          <w:b/>
          <w:bCs/>
          <w:sz w:val="24"/>
          <w:szCs w:val="24"/>
        </w:rPr>
        <w:t>终止和停用</w:t>
      </w:r>
    </w:p>
    <w:p>
      <w:pPr>
        <w:numPr>
          <w:ilvl w:val="-1"/>
          <w:numId w:val="0"/>
        </w:numPr>
        <w:spacing w:line="360" w:lineRule="auto"/>
        <w:ind w:firstLine="0" w:firstLineChars="0"/>
        <w:rPr>
          <w:rFonts w:hint="eastAsia" w:ascii="新宋体" w:hAnsi="新宋体" w:eastAsia="新宋体"/>
          <w:sz w:val="24"/>
          <w:szCs w:val="24"/>
          <w:lang w:val="en-US" w:eastAsia="zh-CN"/>
        </w:rPr>
      </w:pPr>
      <w:r>
        <w:rPr>
          <w:rFonts w:hint="eastAsia" w:ascii="新宋体" w:hAnsi="新宋体" w:eastAsia="新宋体"/>
          <w:sz w:val="24"/>
          <w:szCs w:val="24"/>
          <w:lang w:val="en-US" w:eastAsia="zh-CN"/>
        </w:rPr>
        <w:t xml:space="preserve">    一、乙方如要停止用卡，应在确认贷记卡账户没有未结清款项后，及时致电甲方客户服务热线通知甲方，并向甲方提出销户申请，销户时应将贷记卡交还甲方，或按甲方的规定销毁卡片，甲方对已收的年费不予退还。</w:t>
      </w:r>
    </w:p>
    <w:p>
      <w:pPr>
        <w:numPr>
          <w:ilvl w:val="-1"/>
          <w:numId w:val="0"/>
        </w:numPr>
        <w:spacing w:line="360" w:lineRule="auto"/>
        <w:ind w:firstLine="480" w:firstLineChars="200"/>
        <w:rPr>
          <w:rFonts w:hint="eastAsia" w:ascii="新宋体" w:hAnsi="新宋体" w:eastAsia="新宋体"/>
          <w:sz w:val="24"/>
          <w:szCs w:val="24"/>
          <w:lang w:val="en-US" w:eastAsia="zh-CN"/>
        </w:rPr>
      </w:pPr>
      <w:r>
        <w:rPr>
          <w:rFonts w:hint="eastAsia" w:ascii="新宋体" w:hAnsi="新宋体" w:eastAsia="新宋体"/>
          <w:sz w:val="24"/>
          <w:szCs w:val="24"/>
          <w:lang w:val="en-US" w:eastAsia="zh-CN"/>
        </w:rPr>
        <w:t>二、甲方受理乙方贷记卡账户销户申请45个自然日后，按有关业务规定为乙方办理正式销户手续。同时，甲方根据自身经营管理和风险控制的需要，有权在无须事先通知乙方的情况下注销其贷记卡。乙方申请注销前或被强制注销时必须一次性清偿所有债务。</w:t>
      </w:r>
    </w:p>
    <w:p>
      <w:pPr>
        <w:numPr>
          <w:ilvl w:val="-1"/>
          <w:numId w:val="0"/>
        </w:numPr>
        <w:spacing w:line="360" w:lineRule="auto"/>
        <w:ind w:firstLine="480" w:firstLineChars="200"/>
        <w:rPr>
          <w:rFonts w:hint="eastAsia" w:ascii="新宋体" w:hAnsi="新宋体" w:eastAsia="新宋体"/>
          <w:sz w:val="24"/>
          <w:szCs w:val="24"/>
          <w:lang w:val="en-US" w:eastAsia="zh-CN"/>
        </w:rPr>
      </w:pPr>
      <w:r>
        <w:rPr>
          <w:rFonts w:hint="eastAsia" w:ascii="新宋体" w:hAnsi="新宋体" w:eastAsia="新宋体"/>
          <w:sz w:val="24"/>
          <w:szCs w:val="24"/>
          <w:lang w:val="en-US" w:eastAsia="zh-CN"/>
        </w:rPr>
        <w:t>三、甲方为乙方正式办理销户手续，并不意味着甲方放弃其对乙方在销户前对甲方所欠债务的追索权利，甲方继续保留对乙方销户之前及之后发生的贷记卡账款的追索权，包括乙方在注销前已发生、但尚未入账的交易金额等。乙方知悉并同意，乙方销户后，甲方仍可继续受理乙方的账务查询和还款等业务。主卡终止后，据其发出的所有附属卡也同时终止。</w:t>
      </w:r>
    </w:p>
    <w:p>
      <w:pPr>
        <w:numPr>
          <w:ilvl w:val="-1"/>
          <w:numId w:val="0"/>
        </w:numPr>
        <w:spacing w:line="360" w:lineRule="auto"/>
        <w:ind w:firstLine="480" w:firstLineChars="200"/>
        <w:rPr>
          <w:rFonts w:hint="eastAsia" w:ascii="新宋体" w:hAnsi="新宋体" w:eastAsia="新宋体"/>
          <w:sz w:val="24"/>
          <w:szCs w:val="24"/>
          <w:lang w:val="en-US" w:eastAsia="zh-CN"/>
        </w:rPr>
      </w:pPr>
      <w:r>
        <w:rPr>
          <w:rFonts w:hint="eastAsia" w:ascii="新宋体" w:hAnsi="新宋体" w:eastAsia="新宋体"/>
          <w:sz w:val="24"/>
          <w:szCs w:val="24"/>
          <w:lang w:val="en-US" w:eastAsia="zh-CN"/>
        </w:rPr>
        <w:t>四、乙方申请注销卡片的，应同时停止使用甲方提供的所有增值服务。如乙方在申请注销卡片后拟继续使用相关服务的，必须经甲方认可且由此而产生的费用将由乙方承担。</w:t>
      </w:r>
    </w:p>
    <w:p>
      <w:pPr>
        <w:numPr>
          <w:ilvl w:val="-1"/>
          <w:numId w:val="0"/>
        </w:num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五、乙方</w:t>
      </w:r>
      <w:r>
        <w:rPr>
          <w:rFonts w:hint="default" w:ascii="新宋体" w:hAnsi="新宋体" w:eastAsia="新宋体"/>
          <w:sz w:val="24"/>
          <w:szCs w:val="24"/>
          <w:lang w:val="en-US" w:eastAsia="zh-CN"/>
        </w:rPr>
        <w:t>自申请获批</w:t>
      </w:r>
      <w:r>
        <w:rPr>
          <w:rFonts w:hint="eastAsia" w:ascii="新宋体" w:hAnsi="新宋体" w:eastAsia="新宋体"/>
          <w:sz w:val="24"/>
          <w:szCs w:val="24"/>
          <w:lang w:val="en-US" w:eastAsia="zh-CN"/>
        </w:rPr>
        <w:t>贷记卡</w:t>
      </w:r>
      <w:r>
        <w:rPr>
          <w:rFonts w:hint="default" w:ascii="新宋体" w:hAnsi="新宋体" w:eastAsia="新宋体"/>
          <w:sz w:val="24"/>
          <w:szCs w:val="24"/>
          <w:lang w:val="en-US" w:eastAsia="zh-CN"/>
        </w:rPr>
        <w:t>1年内未主动激活卡片，或已激活卡片，但在有效期内未发生主动交易的，甲方有权为其办理销户手续。</w:t>
      </w:r>
      <w:r>
        <w:rPr>
          <w:rFonts w:hint="eastAsia" w:ascii="新宋体" w:hAnsi="新宋体" w:eastAsia="新宋体"/>
          <w:sz w:val="24"/>
          <w:szCs w:val="24"/>
          <w:lang w:val="en-US" w:eastAsia="zh-CN"/>
        </w:rPr>
        <w:t>乙方贷记卡</w:t>
      </w:r>
      <w:r>
        <w:rPr>
          <w:rFonts w:hint="default" w:ascii="新宋体" w:hAnsi="新宋体" w:eastAsia="新宋体"/>
          <w:sz w:val="24"/>
          <w:szCs w:val="24"/>
          <w:lang w:val="en-US" w:eastAsia="zh-CN"/>
        </w:rPr>
        <w:t>连续18个月以上无主动交易的，甲方有权停止</w:t>
      </w:r>
      <w:r>
        <w:rPr>
          <w:rFonts w:hint="eastAsia" w:ascii="新宋体" w:hAnsi="新宋体" w:eastAsia="新宋体"/>
          <w:sz w:val="24"/>
          <w:szCs w:val="24"/>
          <w:lang w:val="en-US" w:eastAsia="zh-CN"/>
        </w:rPr>
        <w:t>乙方贷记卡</w:t>
      </w:r>
      <w:r>
        <w:rPr>
          <w:rFonts w:hint="default" w:ascii="新宋体" w:hAnsi="新宋体" w:eastAsia="新宋体"/>
          <w:sz w:val="24"/>
          <w:szCs w:val="24"/>
          <w:lang w:val="en-US" w:eastAsia="zh-CN"/>
        </w:rPr>
        <w:t>的用卡服务并采取降低额度、止付、销卡销户等管控措施。销户后若</w:t>
      </w:r>
      <w:r>
        <w:rPr>
          <w:rFonts w:hint="eastAsia" w:ascii="新宋体" w:hAnsi="新宋体" w:eastAsia="新宋体"/>
          <w:sz w:val="24"/>
          <w:szCs w:val="24"/>
          <w:lang w:val="en-US" w:eastAsia="zh-CN"/>
        </w:rPr>
        <w:t>乙方</w:t>
      </w:r>
      <w:r>
        <w:rPr>
          <w:rFonts w:hint="default" w:ascii="新宋体" w:hAnsi="新宋体" w:eastAsia="新宋体"/>
          <w:sz w:val="24"/>
          <w:szCs w:val="24"/>
          <w:lang w:val="en-US" w:eastAsia="zh-CN"/>
        </w:rPr>
        <w:t>希望重新使用</w:t>
      </w:r>
      <w:r>
        <w:rPr>
          <w:rFonts w:hint="eastAsia" w:ascii="新宋体" w:hAnsi="新宋体" w:eastAsia="新宋体"/>
          <w:sz w:val="24"/>
          <w:szCs w:val="24"/>
          <w:lang w:val="en-US" w:eastAsia="zh-CN"/>
        </w:rPr>
        <w:t>贷记卡</w:t>
      </w:r>
      <w:r>
        <w:rPr>
          <w:rFonts w:hint="default" w:ascii="新宋体" w:hAnsi="新宋体" w:eastAsia="新宋体"/>
          <w:sz w:val="24"/>
          <w:szCs w:val="24"/>
          <w:lang w:val="en-US" w:eastAsia="zh-CN"/>
        </w:rPr>
        <w:t>，须重新办理申请</w:t>
      </w:r>
      <w:r>
        <w:rPr>
          <w:rFonts w:hint="eastAsia" w:ascii="新宋体" w:hAnsi="新宋体" w:eastAsia="新宋体"/>
          <w:sz w:val="24"/>
          <w:szCs w:val="24"/>
          <w:lang w:val="en-US" w:eastAsia="zh-CN"/>
        </w:rPr>
        <w:t>贷记卡</w:t>
      </w:r>
      <w:r>
        <w:rPr>
          <w:rFonts w:hint="default" w:ascii="新宋体" w:hAnsi="新宋体" w:eastAsia="新宋体"/>
          <w:sz w:val="24"/>
          <w:szCs w:val="24"/>
          <w:lang w:val="en-US" w:eastAsia="zh-CN"/>
        </w:rPr>
        <w:t>手续。</w:t>
      </w:r>
    </w:p>
    <w:p>
      <w:pPr>
        <w:numPr>
          <w:ilvl w:val="-1"/>
          <w:numId w:val="0"/>
        </w:numPr>
        <w:spacing w:line="360" w:lineRule="auto"/>
        <w:ind w:firstLine="480" w:firstLineChars="200"/>
        <w:rPr>
          <w:rFonts w:hint="eastAsia" w:ascii="新宋体" w:hAnsi="新宋体" w:eastAsia="新宋体"/>
          <w:sz w:val="24"/>
          <w:szCs w:val="24"/>
        </w:rPr>
      </w:pPr>
      <w:r>
        <w:rPr>
          <w:rFonts w:hint="eastAsia" w:ascii="新宋体" w:hAnsi="新宋体" w:eastAsia="新宋体"/>
          <w:b w:val="0"/>
          <w:bCs/>
          <w:sz w:val="24"/>
          <w:szCs w:val="24"/>
          <w:lang w:val="en-US" w:eastAsia="zh-CN"/>
        </w:rPr>
        <w:t>六、</w:t>
      </w:r>
      <w:r>
        <w:rPr>
          <w:rFonts w:hint="eastAsia" w:ascii="新宋体" w:hAnsi="新宋体" w:eastAsia="新宋体"/>
          <w:b/>
          <w:sz w:val="24"/>
          <w:szCs w:val="24"/>
        </w:rPr>
        <w:t>乙方享有按照本合约规定使用贷记卡的权利。如乙方有下述情形，甲方有权采取调低乙方授信额度或卡片级别、止付、冻结、不换发新卡或不予以续卡、落实第二还款来源或要求提供担保、将乙方列入不良信息名单、授权所属机构或特约商户收回贷记卡卡片、终止贷记卡等一项或多项风险管理措施：(a)提供虚假申请资料或使用虚假身份证明；(b)财务状况恶化，还款能力下降，或者在金融信用信息基础数据库或其他合法设立的信息库产生了不良征信记录；(c)涉嫌洗钱、恶意透支、转让、转借、买卖贷记卡或账户等行为；(d)非法使用贷记卡或利用贷记卡从事非法活动；(e)甲方有合理理由认为乙方进行虚假的贷记卡交易以套取资金、积分、奖品或增值服务；(f)有欺诈、非正常用卡等风险信息或其它违反诚信原则的行为；(g)甲方有合理理由认为乙方交易可疑或有被盗风险的；(h)乙方预留的联系方式失效的；(i)乙方拒不配合甲方就相关贷记卡交易、案件或争议进行调查的；(j)其他违反法律法规、《章程》或本合约的行为。甲方采取的风险管理措施不影响乙方承担的责任和义务，乙方仍应偿还贷记卡项下发生的全部债务，且全部未偿债务均视为到期并须一次清偿。</w:t>
      </w:r>
      <w:r>
        <w:rPr>
          <w:rFonts w:hint="eastAsia" w:ascii="新宋体" w:hAnsi="新宋体" w:eastAsia="新宋体"/>
          <w:sz w:val="24"/>
          <w:szCs w:val="24"/>
        </w:rPr>
        <w:t xml:space="preserve"> </w:t>
      </w:r>
    </w:p>
    <w:p>
      <w:pPr>
        <w:spacing w:line="360" w:lineRule="auto"/>
        <w:ind w:firstLine="480" w:firstLineChars="200"/>
        <w:rPr>
          <w:rFonts w:hint="eastAsia" w:ascii="新宋体" w:hAnsi="新宋体" w:eastAsia="新宋体"/>
          <w:b/>
          <w:bCs/>
          <w:sz w:val="24"/>
          <w:szCs w:val="24"/>
        </w:rPr>
      </w:pPr>
      <w:r>
        <w:rPr>
          <w:rFonts w:hint="eastAsia" w:ascii="新宋体" w:hAnsi="新宋体" w:eastAsia="新宋体"/>
          <w:bCs/>
          <w:sz w:val="24"/>
          <w:szCs w:val="24"/>
          <w:lang w:val="en-US" w:eastAsia="zh-CN"/>
        </w:rPr>
        <w:t>七</w:t>
      </w:r>
      <w:r>
        <w:rPr>
          <w:rFonts w:hint="eastAsia" w:ascii="新宋体" w:hAnsi="新宋体" w:eastAsia="新宋体"/>
          <w:bCs/>
          <w:sz w:val="24"/>
          <w:szCs w:val="24"/>
        </w:rPr>
        <w:t>、</w:t>
      </w:r>
      <w:r>
        <w:rPr>
          <w:rFonts w:hint="eastAsia" w:ascii="新宋体" w:hAnsi="新宋体" w:eastAsia="新宋体"/>
          <w:b/>
          <w:bCs/>
          <w:sz w:val="24"/>
          <w:szCs w:val="24"/>
        </w:rPr>
        <w:t xml:space="preserve">因法律法规政策变化，或者因通讯、网络、供电等非因甲方过错导致甲方无法正常提供服务或乙方无法正常使用贷记卡的，甲方将尽最大努力恢复正常服务并向乙方提供必要的帮助，但对由此造成的乙方损失不承担责任。 </w:t>
      </w:r>
      <w:r>
        <w:rPr>
          <w:rFonts w:hint="eastAsia" w:ascii="新宋体" w:hAnsi="新宋体" w:eastAsia="新宋体"/>
          <w:sz w:val="24"/>
          <w:szCs w:val="24"/>
        </w:rPr>
        <w:br w:type="textWrapping"/>
      </w:r>
      <w:r>
        <w:rPr>
          <w:rFonts w:hint="eastAsia" w:ascii="新宋体" w:hAnsi="新宋体" w:eastAsia="新宋体"/>
          <w:sz w:val="24"/>
          <w:szCs w:val="24"/>
        </w:rPr>
        <w:t xml:space="preserve">    </w:t>
      </w:r>
      <w:r>
        <w:rPr>
          <w:rFonts w:hint="eastAsia" w:ascii="新宋体" w:hAnsi="新宋体" w:eastAsia="新宋体"/>
          <w:sz w:val="24"/>
          <w:szCs w:val="24"/>
          <w:lang w:val="en-US" w:eastAsia="zh-CN"/>
        </w:rPr>
        <w:t>八</w:t>
      </w:r>
      <w:r>
        <w:rPr>
          <w:rFonts w:hint="eastAsia" w:ascii="新宋体" w:hAnsi="新宋体" w:eastAsia="新宋体"/>
          <w:sz w:val="24"/>
          <w:szCs w:val="24"/>
        </w:rPr>
        <w:t>、</w:t>
      </w:r>
      <w:r>
        <w:rPr>
          <w:rFonts w:hint="eastAsia" w:ascii="新宋体" w:hAnsi="新宋体" w:eastAsia="新宋体"/>
          <w:b/>
          <w:bCs/>
          <w:sz w:val="24"/>
          <w:szCs w:val="24"/>
        </w:rPr>
        <w:t>为防范风险，确保贷记卡安全，在出现可疑交易或贷记卡有被盗用风险时，甲方有权立即暂停卡片使用，并有权进行调查核实。乙方须配合甲方，及时提供相关文件资料并根据甲方的建议采取适当的防范措施。如因乙方不予配合造成损失的，由乙方承担。</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九</w:t>
      </w:r>
      <w:r>
        <w:rPr>
          <w:rFonts w:hint="eastAsia" w:ascii="新宋体" w:hAnsi="新宋体" w:eastAsia="新宋体"/>
          <w:sz w:val="24"/>
          <w:szCs w:val="24"/>
        </w:rPr>
        <w:t xml:space="preserve">、乙方必须遵守《章程》和本合约。乙方不遵守章程不履行本合约的，甲方有权取消乙方持卡资格，收回其贷记卡，及时通知乙方并阐述理由，因此令乙方直接或间接蒙受或引致的任何性质的损失或损害，甲方不需承担任何责任。  </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十</w:t>
      </w:r>
      <w:r>
        <w:rPr>
          <w:rFonts w:hint="eastAsia" w:ascii="新宋体" w:hAnsi="新宋体" w:eastAsia="新宋体"/>
          <w:sz w:val="24"/>
          <w:szCs w:val="24"/>
        </w:rPr>
        <w:t>、</w:t>
      </w:r>
      <w:r>
        <w:rPr>
          <w:rFonts w:hint="eastAsia" w:ascii="新宋体" w:hAnsi="新宋体" w:eastAsia="新宋体"/>
          <w:b/>
          <w:sz w:val="24"/>
          <w:szCs w:val="24"/>
        </w:rPr>
        <w:t>甲方可采用网站公告、营业网点公告、对账单、信函、电话银行、客户服务电话、手机短信及手机客户端信息推送等任一方式履行通知义务。</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十一</w:t>
      </w:r>
      <w:r>
        <w:rPr>
          <w:rFonts w:hint="eastAsia" w:ascii="新宋体" w:hAnsi="新宋体" w:eastAsia="新宋体"/>
          <w:sz w:val="24"/>
          <w:szCs w:val="24"/>
        </w:rPr>
        <w:t>、</w:t>
      </w:r>
      <w:r>
        <w:rPr>
          <w:rFonts w:hint="eastAsia" w:ascii="新宋体" w:hAnsi="新宋体" w:eastAsia="新宋体"/>
          <w:b/>
          <w:sz w:val="24"/>
          <w:szCs w:val="24"/>
        </w:rPr>
        <w:t>除另有规定外，甲方在本合约项下的所有通知均发送给主卡持卡人，主卡持卡人有义务将该通知告知其附属卡持卡人。</w:t>
      </w:r>
    </w:p>
    <w:p>
      <w:pPr>
        <w:spacing w:line="360" w:lineRule="auto"/>
        <w:ind w:firstLine="482" w:firstLineChars="200"/>
        <w:rPr>
          <w:rFonts w:hint="eastAsia" w:ascii="新宋体" w:hAnsi="新宋体" w:eastAsia="新宋体"/>
          <w:b/>
          <w:bCs/>
          <w:sz w:val="24"/>
          <w:szCs w:val="24"/>
        </w:rPr>
      </w:pP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第</w:t>
      </w:r>
      <w:r>
        <w:rPr>
          <w:rFonts w:hint="eastAsia" w:ascii="新宋体" w:hAnsi="新宋体" w:eastAsia="新宋体"/>
          <w:b/>
          <w:bCs/>
          <w:sz w:val="24"/>
          <w:szCs w:val="24"/>
          <w:lang w:val="en-US" w:eastAsia="zh-CN"/>
        </w:rPr>
        <w:t>八</w:t>
      </w:r>
      <w:r>
        <w:rPr>
          <w:rFonts w:hint="eastAsia" w:ascii="新宋体" w:hAnsi="新宋体" w:eastAsia="新宋体"/>
          <w:b/>
          <w:bCs/>
          <w:sz w:val="24"/>
          <w:szCs w:val="24"/>
        </w:rPr>
        <w:t>条 反洗钱条款</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一、乙方承诺其向甲方申请办理本合约项下业务是真实、合法的，未涉及洗钱、恐怖主义或其他非法目的，也未违反任何适用的关于经济制裁、贸易禁运和贸易管制等方面的法律法规和国际条约，并自愿接受反洗钱调查，及时提供相关信息，确保相关信息的准确性、真实性、完整性。</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二、乙方承诺其在业务办理过程中所涉及的资金来源合法合规，不存在亦不涉嫌洗钱、恐怖融资、逃税、欺诈等非法活动。</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三、如甲方发现或有合理理由怀疑乙方存在或涉嫌洗钱、恐怖融资或逃税等非法活动的，甲方可以采取包括但不限于暂停本合约项下贷记卡业务的申请、办理、宣布本合约项下相关分期业务提前到期等必要的反洗钱风险控制措施，对甲方因采取风险控制措施及因乙方违反本条约定的反洗钱义务给甲方造成的损失，由乙方承担相应赔偿责任。</w:t>
      </w:r>
    </w:p>
    <w:p>
      <w:pPr>
        <w:spacing w:line="360" w:lineRule="auto"/>
        <w:ind w:firstLine="482" w:firstLineChars="200"/>
        <w:rPr>
          <w:rFonts w:hint="eastAsia" w:ascii="新宋体" w:hAnsi="新宋体" w:eastAsia="新宋体"/>
          <w:b/>
          <w:bCs/>
          <w:sz w:val="24"/>
          <w:szCs w:val="24"/>
        </w:rPr>
      </w:pP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第</w:t>
      </w:r>
      <w:r>
        <w:rPr>
          <w:rFonts w:hint="eastAsia" w:ascii="新宋体" w:hAnsi="新宋体" w:eastAsia="新宋体"/>
          <w:b/>
          <w:bCs/>
          <w:sz w:val="24"/>
          <w:szCs w:val="24"/>
          <w:lang w:val="en-US" w:eastAsia="zh-CN"/>
        </w:rPr>
        <w:t>九</w:t>
      </w:r>
      <w:r>
        <w:rPr>
          <w:rFonts w:hint="eastAsia" w:ascii="新宋体" w:hAnsi="新宋体" w:eastAsia="新宋体"/>
          <w:b/>
          <w:bCs/>
          <w:sz w:val="24"/>
          <w:szCs w:val="24"/>
        </w:rPr>
        <w:t>条 其他</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一、</w:t>
      </w:r>
      <w:r>
        <w:rPr>
          <w:rFonts w:hint="eastAsia" w:ascii="新宋体" w:hAnsi="新宋体" w:eastAsia="新宋体"/>
          <w:b/>
          <w:sz w:val="24"/>
          <w:szCs w:val="24"/>
        </w:rPr>
        <w:t xml:space="preserve">本合约解释权属于甲方。本合约所依据的《章程》修改、收费项目或标准变化、利率调整等一经公布，即为有效，如有变动，甲方将提前公告或通知乙方。乙方有权在公告期内选择是否同意该变动，如不接受，乙方应于公告载明的生效日期前终止使用贷记卡，并按照相关规定办理销户手续，否则视为乙方同意该变动，变动后的条款对甲、乙双方均有约束力。在本合约订立之前甲方已发布的持续有效的公告对甲、乙双方均有约束力，如公告与本合约和《章程》不一致的，以公告内容为准。 </w:t>
      </w:r>
      <w:r>
        <w:rPr>
          <w:rFonts w:hint="eastAsia" w:ascii="新宋体" w:hAnsi="新宋体" w:eastAsia="新宋体"/>
          <w:sz w:val="24"/>
          <w:szCs w:val="24"/>
        </w:rPr>
        <w:t xml:space="preserve">    </w:t>
      </w:r>
    </w:p>
    <w:p>
      <w:pPr>
        <w:spacing w:line="360" w:lineRule="auto"/>
        <w:ind w:firstLine="482" w:firstLineChars="200"/>
        <w:rPr>
          <w:rFonts w:hint="eastAsia" w:ascii="新宋体" w:hAnsi="新宋体" w:eastAsia="新宋体"/>
          <w:b/>
          <w:sz w:val="24"/>
          <w:szCs w:val="24"/>
        </w:rPr>
      </w:pPr>
      <w:r>
        <w:rPr>
          <w:rFonts w:hint="eastAsia" w:ascii="新宋体" w:hAnsi="新宋体" w:eastAsia="新宋体"/>
          <w:b/>
          <w:sz w:val="24"/>
          <w:szCs w:val="24"/>
          <w:lang w:val="en-US" w:eastAsia="zh-CN"/>
        </w:rPr>
        <w:t>二、乙方知悉并同意，甲方可对向乙方提供服务的过程（包括但不限于电话、面谈、信函、传真、电子邮件、手机信息或网络交流等）通过录音、书面、电子数据等方式进行记录和保存，并作为甲方相关业务处理的依据。乙方</w:t>
      </w:r>
      <w:r>
        <w:rPr>
          <w:rFonts w:hint="eastAsia" w:ascii="新宋体" w:hAnsi="新宋体" w:eastAsia="新宋体"/>
          <w:b/>
          <w:sz w:val="24"/>
          <w:szCs w:val="24"/>
        </w:rPr>
        <w:t>同意将</w:t>
      </w:r>
      <w:r>
        <w:rPr>
          <w:rFonts w:hint="eastAsia" w:ascii="新宋体" w:hAnsi="新宋体" w:eastAsia="新宋体"/>
          <w:b/>
          <w:sz w:val="24"/>
          <w:szCs w:val="24"/>
          <w:lang w:val="en-US" w:eastAsia="zh-CN"/>
        </w:rPr>
        <w:t>甲方</w:t>
      </w:r>
      <w:r>
        <w:rPr>
          <w:rFonts w:hint="eastAsia" w:ascii="新宋体" w:hAnsi="新宋体" w:eastAsia="新宋体"/>
          <w:b/>
          <w:sz w:val="24"/>
          <w:szCs w:val="24"/>
        </w:rPr>
        <w:t>与</w:t>
      </w:r>
      <w:r>
        <w:rPr>
          <w:rFonts w:hint="eastAsia" w:ascii="新宋体" w:hAnsi="新宋体" w:eastAsia="新宋体"/>
          <w:b/>
          <w:sz w:val="24"/>
          <w:szCs w:val="24"/>
          <w:lang w:val="en-US" w:eastAsia="zh-CN"/>
        </w:rPr>
        <w:t>乙方</w:t>
      </w:r>
      <w:r>
        <w:rPr>
          <w:rFonts w:hint="eastAsia" w:ascii="新宋体" w:hAnsi="新宋体" w:eastAsia="新宋体"/>
          <w:b/>
          <w:sz w:val="24"/>
          <w:szCs w:val="24"/>
        </w:rPr>
        <w:t>的通话或视频（通过客户热线或其他方式）进行录音或录像，并且</w:t>
      </w:r>
      <w:r>
        <w:rPr>
          <w:rFonts w:hint="eastAsia" w:ascii="新宋体" w:hAnsi="新宋体" w:eastAsia="新宋体"/>
          <w:b/>
          <w:sz w:val="24"/>
          <w:szCs w:val="24"/>
          <w:lang w:val="en-US" w:eastAsia="zh-CN"/>
        </w:rPr>
        <w:t>乙方</w:t>
      </w:r>
      <w:r>
        <w:rPr>
          <w:rFonts w:hint="eastAsia" w:ascii="新宋体" w:hAnsi="新宋体" w:eastAsia="新宋体"/>
          <w:b/>
          <w:sz w:val="24"/>
          <w:szCs w:val="24"/>
        </w:rPr>
        <w:t>同意将上述电话录音或录像用于</w:t>
      </w:r>
      <w:r>
        <w:rPr>
          <w:rFonts w:hint="eastAsia" w:ascii="新宋体" w:hAnsi="新宋体" w:eastAsia="新宋体"/>
          <w:b/>
          <w:sz w:val="24"/>
          <w:szCs w:val="24"/>
          <w:lang w:val="en-US" w:eastAsia="zh-CN"/>
        </w:rPr>
        <w:t>甲方</w:t>
      </w:r>
      <w:r>
        <w:rPr>
          <w:rFonts w:hint="eastAsia" w:ascii="新宋体" w:hAnsi="新宋体" w:eastAsia="新宋体"/>
          <w:b/>
          <w:sz w:val="24"/>
          <w:szCs w:val="24"/>
        </w:rPr>
        <w:t>合理的目的，包括但不限于将其在针对</w:t>
      </w:r>
      <w:r>
        <w:rPr>
          <w:rFonts w:hint="eastAsia" w:ascii="新宋体" w:hAnsi="新宋体" w:eastAsia="新宋体"/>
          <w:b/>
          <w:sz w:val="24"/>
          <w:szCs w:val="24"/>
          <w:lang w:val="en-US" w:eastAsia="zh-CN"/>
        </w:rPr>
        <w:t>乙方</w:t>
      </w:r>
      <w:r>
        <w:rPr>
          <w:rFonts w:hint="eastAsia" w:ascii="新宋体" w:hAnsi="新宋体" w:eastAsia="新宋体"/>
          <w:b/>
          <w:sz w:val="24"/>
          <w:szCs w:val="24"/>
        </w:rPr>
        <w:t>或相关的其他人的诉讼及仲裁中用作证据。</w:t>
      </w:r>
    </w:p>
    <w:p>
      <w:pPr>
        <w:spacing w:line="360" w:lineRule="auto"/>
        <w:ind w:firstLine="482" w:firstLineChars="200"/>
        <w:rPr>
          <w:rFonts w:hint="eastAsia" w:ascii="新宋体" w:hAnsi="新宋体" w:eastAsia="新宋体"/>
          <w:b/>
          <w:sz w:val="24"/>
          <w:szCs w:val="24"/>
        </w:rPr>
      </w:pPr>
      <w:r>
        <w:rPr>
          <w:rFonts w:hint="eastAsia" w:ascii="新宋体" w:hAnsi="新宋体" w:eastAsia="新宋体"/>
          <w:b/>
          <w:sz w:val="24"/>
          <w:szCs w:val="24"/>
          <w:lang w:val="en-US" w:eastAsia="zh-CN"/>
        </w:rPr>
        <w:t>三</w:t>
      </w:r>
      <w:r>
        <w:rPr>
          <w:rFonts w:hint="eastAsia" w:ascii="新宋体" w:hAnsi="新宋体" w:eastAsia="新宋体"/>
          <w:b/>
          <w:sz w:val="24"/>
          <w:szCs w:val="24"/>
        </w:rPr>
        <w:t>、乙方同意向甲方所提供的乙方住址、联系地址、单位地址、电子地址（电子邮箱、即时通讯账号、诉讼平台专用账号等），作为向乙方送达本合约项下各类文书、通知、催收信函、协议等文件以及争议解决程序（包括但不限于调解、仲裁、一审、二审、再审、特别程序及执行等程序）中的相关文件和法律文书的有效送达地址（后续乙方联系甲方变更的，以甲方确认的乙方调整后的联系方式为准），相关文件寄送或到达特定系统即视为送达。因乙方提供的地址不准确、不真实或未及时告知甲方变更后的地址，或者乙方拒绝签收，导致有关通知或文件等未被实际接收的，视为有效送达，且乙方自行承担由此产生的法律后果。</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四</w:t>
      </w:r>
      <w:r>
        <w:rPr>
          <w:rFonts w:hint="eastAsia" w:ascii="新宋体" w:hAnsi="新宋体" w:eastAsia="新宋体"/>
          <w:sz w:val="24"/>
          <w:szCs w:val="24"/>
        </w:rPr>
        <w:t>、</w:t>
      </w:r>
      <w:r>
        <w:rPr>
          <w:rFonts w:hint="eastAsia" w:ascii="新宋体" w:hAnsi="新宋体" w:eastAsia="新宋体"/>
          <w:b/>
          <w:sz w:val="24"/>
          <w:szCs w:val="24"/>
        </w:rPr>
        <w:t>乙方确认，甲方对本合约中有关免除或限制甲方责任的条款、甲方单方面拥有某些权利的条款、增加乙方责任或限制乙方权利的条款，已采取合理的方式提请乙方注意并已经按照乙方的要求对相关条款进行了说明。</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五</w:t>
      </w:r>
      <w:r>
        <w:rPr>
          <w:rFonts w:hint="eastAsia" w:ascii="新宋体" w:hAnsi="新宋体" w:eastAsia="新宋体"/>
          <w:sz w:val="24"/>
          <w:szCs w:val="24"/>
        </w:rPr>
        <w:t>、</w:t>
      </w:r>
      <w:r>
        <w:rPr>
          <w:rFonts w:hint="eastAsia" w:ascii="新宋体" w:hAnsi="新宋体" w:eastAsia="新宋体"/>
          <w:b/>
          <w:sz w:val="24"/>
          <w:szCs w:val="24"/>
        </w:rPr>
        <w:t>乙方已完全知悉并了解《章程》和本合约的各项条款，并自愿遵守。</w:t>
      </w:r>
    </w:p>
    <w:p>
      <w:pPr>
        <w:spacing w:line="360" w:lineRule="auto"/>
        <w:ind w:firstLine="480" w:firstLineChars="200"/>
        <w:rPr>
          <w:rFonts w:hint="eastAsia" w:ascii="新宋体" w:hAnsi="新宋体" w:eastAsia="新宋体"/>
        </w:rPr>
      </w:pPr>
      <w:r>
        <w:rPr>
          <w:rFonts w:hint="eastAsia" w:ascii="新宋体" w:hAnsi="新宋体" w:eastAsia="新宋体"/>
          <w:bCs/>
          <w:sz w:val="24"/>
          <w:szCs w:val="24"/>
          <w:lang w:val="en-US" w:eastAsia="zh-CN"/>
        </w:rPr>
        <w:t>六</w:t>
      </w:r>
      <w:r>
        <w:rPr>
          <w:rFonts w:hint="eastAsia" w:ascii="新宋体" w:hAnsi="新宋体" w:eastAsia="新宋体"/>
          <w:bCs/>
          <w:sz w:val="24"/>
          <w:szCs w:val="24"/>
        </w:rPr>
        <w:t>、</w:t>
      </w:r>
      <w:r>
        <w:rPr>
          <w:rFonts w:hint="eastAsia" w:ascii="新宋体" w:hAnsi="新宋体" w:eastAsia="新宋体"/>
          <w:b/>
          <w:bCs/>
          <w:sz w:val="24"/>
          <w:szCs w:val="24"/>
        </w:rPr>
        <w:t>为更好</w:t>
      </w:r>
      <w:r>
        <w:rPr>
          <w:rFonts w:hint="eastAsia" w:ascii="新宋体" w:hAnsi="新宋体" w:eastAsia="新宋体"/>
          <w:b/>
          <w:bCs/>
          <w:sz w:val="24"/>
          <w:szCs w:val="24"/>
          <w:lang w:val="en-US" w:eastAsia="zh-CN"/>
        </w:rPr>
        <w:t>地</w:t>
      </w:r>
      <w:r>
        <w:rPr>
          <w:rFonts w:hint="eastAsia" w:ascii="新宋体" w:hAnsi="新宋体" w:eastAsia="新宋体"/>
          <w:b/>
          <w:bCs/>
          <w:sz w:val="24"/>
          <w:szCs w:val="24"/>
        </w:rPr>
        <w:t>提供贷记卡产品及服务，乙方同意接受甲方通过短信、电话、微信等渠道推送的对账、催收等产品和服务的相关信息。乙方同意甲方提供乙方个人信息给甲方的业务合作伙伴及委托处理事务之第三方。业务合作伙伴及委托处理事务之第三方仍需对乙方的相关信息进行保密。</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如乙方不同意向甲方或与甲方签约的业务合作伙伴及委托处理事务之第三方提供个人信息，可随时以书面形式通知甲方，甲方收到通知后，在甲方规定的时限内，将停止向乙方提供相应的产品及服务，乙方因而将无法享受甲方提供的相应优惠及增值服务。</w:t>
      </w:r>
    </w:p>
    <w:p>
      <w:pPr>
        <w:spacing w:line="360" w:lineRule="auto"/>
        <w:ind w:firstLine="480" w:firstLineChars="200"/>
        <w:rPr>
          <w:rFonts w:hint="default" w:ascii="新宋体" w:hAnsi="新宋体" w:eastAsia="新宋体"/>
          <w:b w:val="0"/>
          <w:bCs w:val="0"/>
          <w:sz w:val="24"/>
          <w:szCs w:val="24"/>
          <w:lang w:val="en-US" w:eastAsia="zh-CN"/>
        </w:rPr>
      </w:pPr>
      <w:r>
        <w:rPr>
          <w:rFonts w:hint="eastAsia" w:ascii="新宋体" w:hAnsi="新宋体" w:eastAsia="新宋体"/>
          <w:b w:val="0"/>
          <w:bCs w:val="0"/>
          <w:sz w:val="24"/>
          <w:szCs w:val="24"/>
          <w:lang w:val="en-US" w:eastAsia="zh-CN"/>
        </w:rPr>
        <w:t>七、乙方如对甲方提供的金融产品或服务有任何疑问或异议，均可通过拨打客服电话4008296008或通过甲方官方网站、微信公众号等线上方式公布的客户咨询/投诉渠道或前往甲方各营业网点进行咨询、投诉。</w:t>
      </w:r>
    </w:p>
    <w:p>
      <w:pPr>
        <w:spacing w:line="360" w:lineRule="auto"/>
        <w:ind w:firstLine="480" w:firstLineChars="200"/>
        <w:rPr>
          <w:rFonts w:hint="eastAsia" w:ascii="新宋体" w:hAnsi="新宋体" w:eastAsia="新宋体"/>
          <w:b/>
          <w:bCs/>
          <w:sz w:val="24"/>
          <w:szCs w:val="24"/>
        </w:rPr>
      </w:pPr>
      <w:r>
        <w:rPr>
          <w:rFonts w:hint="eastAsia" w:ascii="新宋体" w:hAnsi="新宋体" w:eastAsia="新宋体"/>
          <w:b w:val="0"/>
          <w:bCs w:val="0"/>
          <w:sz w:val="24"/>
          <w:szCs w:val="24"/>
          <w:lang w:val="en-US" w:eastAsia="zh-CN"/>
        </w:rPr>
        <w:t>八</w:t>
      </w:r>
      <w:r>
        <w:rPr>
          <w:rFonts w:hint="eastAsia" w:ascii="新宋体" w:hAnsi="新宋体" w:eastAsia="新宋体"/>
          <w:b w:val="0"/>
          <w:bCs w:val="0"/>
          <w:sz w:val="24"/>
          <w:szCs w:val="24"/>
        </w:rPr>
        <w:t>、</w:t>
      </w:r>
      <w:r>
        <w:rPr>
          <w:rFonts w:hint="eastAsia" w:ascii="新宋体" w:hAnsi="新宋体" w:eastAsia="新宋体"/>
          <w:b/>
          <w:bCs/>
          <w:sz w:val="24"/>
          <w:szCs w:val="24"/>
        </w:rPr>
        <w:t>本合约适用中华人民共和国有关法律、法规和金融监管部门的有关规定，未尽事宜依据甲方《章程》、业务规定及金融行业惯例办理</w:t>
      </w:r>
      <w:r>
        <w:rPr>
          <w:rFonts w:hint="eastAsia" w:ascii="新宋体" w:hAnsi="新宋体" w:eastAsia="新宋体"/>
          <w:b/>
          <w:sz w:val="24"/>
          <w:szCs w:val="24"/>
        </w:rPr>
        <w:t>。甲方与乙方在履行本合约中发生的争议，由双方协商解决，协商不成提起诉讼的，由甲方所在地有管辖权的人民法院管辖。</w:t>
      </w:r>
    </w:p>
    <w:p>
      <w:pPr>
        <w:spacing w:line="240" w:lineRule="auto"/>
        <w:ind w:firstLine="0" w:firstLineChars="0"/>
        <w:rPr>
          <w:rFonts w:hint="eastAsia" w:ascii="新宋体" w:hAnsi="新宋体" w:eastAsia="新宋体"/>
          <w:b/>
          <w:bCs/>
          <w:sz w:val="24"/>
          <w:szCs w:val="24"/>
        </w:rPr>
      </w:pPr>
    </w:p>
    <w:p>
      <w:pPr>
        <w:spacing w:line="240" w:lineRule="auto"/>
        <w:ind w:firstLine="0" w:firstLineChars="0"/>
        <w:rPr>
          <w:rFonts w:hint="eastAsia" w:ascii="新宋体" w:hAnsi="新宋体" w:eastAsia="新宋体"/>
          <w:b/>
          <w:bCs/>
          <w:sz w:val="24"/>
          <w:szCs w:val="2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1314"/>
        <w:gridCol w:w="925"/>
        <w:gridCol w:w="4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gridSpan w:val="4"/>
            <w:vAlign w:val="center"/>
          </w:tcPr>
          <w:p>
            <w:pPr>
              <w:spacing w:line="240" w:lineRule="auto"/>
              <w:jc w:val="center"/>
              <w:rPr>
                <w:rFonts w:hint="eastAsia" w:ascii="宋体" w:hAnsi="宋体" w:eastAsia="宋体"/>
                <w:b/>
                <w:bCs/>
                <w:sz w:val="21"/>
                <w:szCs w:val="21"/>
                <w:vertAlign w:val="baseline"/>
              </w:rPr>
            </w:pPr>
            <w:r>
              <w:rPr>
                <w:rFonts w:hint="eastAsia" w:ascii="宋体" w:hAnsi="宋体" w:eastAsia="宋体" w:cs="宋体"/>
                <w:b/>
                <w:bCs/>
                <w:i w:val="0"/>
                <w:iCs w:val="0"/>
                <w:color w:val="000000"/>
                <w:kern w:val="0"/>
                <w:sz w:val="28"/>
                <w:szCs w:val="28"/>
                <w:u w:val="none"/>
                <w:lang w:val="en-US" w:eastAsia="zh-CN" w:bidi="ar"/>
              </w:rPr>
              <w:t>圆鼎贷记卡</w:t>
            </w:r>
            <w:r>
              <w:rPr>
                <w:rFonts w:hint="eastAsia" w:ascii="宋体" w:hAnsi="宋体" w:cs="宋体"/>
                <w:b/>
                <w:bCs/>
                <w:i w:val="0"/>
                <w:iCs w:val="0"/>
                <w:color w:val="000000"/>
                <w:kern w:val="0"/>
                <w:sz w:val="28"/>
                <w:szCs w:val="28"/>
                <w:u w:val="none"/>
                <w:lang w:val="en-US" w:eastAsia="zh-CN" w:bidi="ar"/>
              </w:rPr>
              <w:t>（个人卡）收费标准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利息、服务收费</w:t>
            </w:r>
          </w:p>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及违约金</w:t>
            </w:r>
          </w:p>
        </w:tc>
        <w:tc>
          <w:tcPr>
            <w:tcW w:w="6392" w:type="dxa"/>
            <w:gridSpan w:val="3"/>
            <w:vAlign w:val="center"/>
          </w:tcPr>
          <w:p>
            <w:pPr>
              <w:spacing w:line="240" w:lineRule="auto"/>
              <w:jc w:val="center"/>
              <w:rPr>
                <w:rFonts w:hint="eastAsia" w:ascii="宋体" w:hAnsi="宋体" w:eastAsia="宋体"/>
                <w:b/>
                <w:bCs/>
                <w:sz w:val="21"/>
                <w:szCs w:val="21"/>
                <w:vertAlign w:val="baseline"/>
              </w:rPr>
            </w:pPr>
            <w:r>
              <w:rPr>
                <w:rFonts w:hint="eastAsia" w:ascii="宋体" w:hAnsi="宋体" w:eastAsia="宋体"/>
                <w:b/>
                <w:bCs/>
                <w:sz w:val="21"/>
                <w:szCs w:val="21"/>
                <w:vertAlign w:val="baseline"/>
                <w:lang w:val="en-US" w:eastAsia="zh-CN"/>
              </w:rPr>
              <w:t>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Merge w:val="restart"/>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年费</w:t>
            </w:r>
          </w:p>
        </w:tc>
        <w:tc>
          <w:tcPr>
            <w:tcW w:w="1314" w:type="dxa"/>
            <w:vMerge w:val="restart"/>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圆鼎贷记卡</w:t>
            </w: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普卡</w:t>
            </w:r>
          </w:p>
        </w:tc>
        <w:tc>
          <w:tcPr>
            <w:tcW w:w="4153" w:type="dxa"/>
            <w:vAlign w:val="center"/>
          </w:tcPr>
          <w:p>
            <w:pPr>
              <w:spacing w:line="240" w:lineRule="auto"/>
              <w:jc w:val="both"/>
              <w:rPr>
                <w:rFonts w:hint="eastAsia" w:ascii="宋体" w:hAnsi="宋体" w:eastAsia="宋体"/>
                <w:b/>
                <w:bCs/>
                <w:sz w:val="21"/>
                <w:szCs w:val="21"/>
                <w:vertAlign w:val="baseline"/>
              </w:rPr>
            </w:pPr>
            <w:r>
              <w:rPr>
                <w:rFonts w:hint="eastAsia" w:ascii="宋体" w:hAnsi="宋体" w:eastAsia="宋体"/>
                <w:b/>
                <w:bCs/>
                <w:sz w:val="21"/>
                <w:szCs w:val="21"/>
                <w:vertAlign w:val="baseline"/>
              </w:rPr>
              <w:t>主卡</w:t>
            </w:r>
            <w:r>
              <w:rPr>
                <w:rFonts w:hint="eastAsia" w:ascii="宋体" w:hAnsi="宋体" w:eastAsia="宋体"/>
                <w:b/>
                <w:bCs/>
                <w:sz w:val="21"/>
                <w:szCs w:val="21"/>
                <w:vertAlign w:val="baseline"/>
                <w:lang w:val="en-US" w:eastAsia="zh-CN"/>
              </w:rPr>
              <w:t>60元/年</w:t>
            </w:r>
            <w:r>
              <w:rPr>
                <w:rFonts w:hint="eastAsia" w:ascii="宋体" w:hAnsi="宋体"/>
                <w:b/>
                <w:bCs/>
                <w:sz w:val="21"/>
                <w:szCs w:val="21"/>
                <w:vertAlign w:val="baseline"/>
                <w:lang w:val="en-US" w:eastAsia="zh-CN"/>
              </w:rPr>
              <w:t>，</w:t>
            </w:r>
            <w:r>
              <w:rPr>
                <w:rFonts w:hint="eastAsia" w:ascii="宋体" w:hAnsi="宋体" w:eastAsia="宋体"/>
                <w:b/>
                <w:bCs/>
                <w:sz w:val="21"/>
                <w:szCs w:val="21"/>
                <w:vertAlign w:val="baseline"/>
                <w:lang w:val="en-US" w:eastAsia="zh-CN"/>
              </w:rPr>
              <w:t>附属卡30元/年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sz w:val="21"/>
                <w:szCs w:val="21"/>
                <w:vertAlign w:val="baseline"/>
              </w:rPr>
            </w:pPr>
          </w:p>
        </w:tc>
        <w:tc>
          <w:tcPr>
            <w:tcW w:w="1314" w:type="dxa"/>
            <w:vMerge w:val="continue"/>
            <w:vAlign w:val="center"/>
          </w:tcPr>
          <w:p>
            <w:pPr>
              <w:spacing w:line="240" w:lineRule="auto"/>
              <w:jc w:val="center"/>
              <w:rPr>
                <w:rFonts w:hint="eastAsia" w:ascii="宋体" w:hAnsi="宋体" w:eastAsia="宋体"/>
                <w:b/>
                <w:bCs/>
                <w:sz w:val="21"/>
                <w:szCs w:val="21"/>
                <w:vertAlign w:val="baseline"/>
              </w:rPr>
            </w:pP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金卡</w:t>
            </w:r>
          </w:p>
        </w:tc>
        <w:tc>
          <w:tcPr>
            <w:tcW w:w="4153" w:type="dxa"/>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主卡</w:t>
            </w:r>
            <w:r>
              <w:rPr>
                <w:rFonts w:hint="eastAsia" w:ascii="宋体" w:hAnsi="宋体"/>
                <w:b/>
                <w:bCs/>
                <w:sz w:val="21"/>
                <w:szCs w:val="21"/>
                <w:vertAlign w:val="baseline"/>
                <w:lang w:val="en-US" w:eastAsia="zh-CN"/>
              </w:rPr>
              <w:t>120</w:t>
            </w:r>
            <w:r>
              <w:rPr>
                <w:rFonts w:hint="eastAsia" w:ascii="宋体" w:hAnsi="宋体" w:eastAsia="宋体"/>
                <w:b/>
                <w:bCs/>
                <w:sz w:val="21"/>
                <w:szCs w:val="21"/>
                <w:vertAlign w:val="baseline"/>
                <w:lang w:val="en-US" w:eastAsia="zh-CN"/>
              </w:rPr>
              <w:t>元/年</w:t>
            </w:r>
            <w:r>
              <w:rPr>
                <w:rFonts w:hint="eastAsia" w:ascii="宋体" w:hAnsi="宋体"/>
                <w:b/>
                <w:bCs/>
                <w:sz w:val="21"/>
                <w:szCs w:val="21"/>
                <w:vertAlign w:val="baseline"/>
                <w:lang w:val="en-US" w:eastAsia="zh-CN"/>
              </w:rPr>
              <w:t>，</w:t>
            </w:r>
            <w:r>
              <w:rPr>
                <w:rFonts w:hint="eastAsia" w:ascii="宋体" w:hAnsi="宋体" w:eastAsia="宋体"/>
                <w:b/>
                <w:bCs/>
                <w:sz w:val="21"/>
                <w:szCs w:val="21"/>
                <w:vertAlign w:val="baseline"/>
                <w:lang w:val="en-US" w:eastAsia="zh-CN"/>
              </w:rPr>
              <w:t>附属卡</w:t>
            </w:r>
            <w:r>
              <w:rPr>
                <w:rFonts w:hint="eastAsia" w:ascii="宋体" w:hAnsi="宋体"/>
                <w:b/>
                <w:bCs/>
                <w:sz w:val="21"/>
                <w:szCs w:val="21"/>
                <w:vertAlign w:val="baseline"/>
                <w:lang w:val="en-US" w:eastAsia="zh-CN"/>
              </w:rPr>
              <w:t>60</w:t>
            </w:r>
            <w:r>
              <w:rPr>
                <w:rFonts w:hint="eastAsia" w:ascii="宋体" w:hAnsi="宋体" w:eastAsia="宋体"/>
                <w:b/>
                <w:bCs/>
                <w:sz w:val="21"/>
                <w:szCs w:val="21"/>
                <w:vertAlign w:val="baseline"/>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sz w:val="21"/>
                <w:szCs w:val="21"/>
                <w:vertAlign w:val="baseline"/>
              </w:rPr>
            </w:pPr>
          </w:p>
        </w:tc>
        <w:tc>
          <w:tcPr>
            <w:tcW w:w="1314" w:type="dxa"/>
            <w:vMerge w:val="continue"/>
            <w:vAlign w:val="center"/>
          </w:tcPr>
          <w:p>
            <w:pPr>
              <w:spacing w:line="240" w:lineRule="auto"/>
              <w:jc w:val="center"/>
              <w:rPr>
                <w:rFonts w:hint="eastAsia" w:ascii="宋体" w:hAnsi="宋体" w:eastAsia="宋体"/>
                <w:b/>
                <w:bCs/>
                <w:sz w:val="21"/>
                <w:szCs w:val="21"/>
                <w:vertAlign w:val="baseline"/>
              </w:rPr>
            </w:pP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白金卡</w:t>
            </w:r>
          </w:p>
        </w:tc>
        <w:tc>
          <w:tcPr>
            <w:tcW w:w="4153" w:type="dxa"/>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主卡</w:t>
            </w:r>
            <w:r>
              <w:rPr>
                <w:rFonts w:hint="eastAsia" w:ascii="宋体" w:hAnsi="宋体"/>
                <w:b/>
                <w:bCs/>
                <w:sz w:val="21"/>
                <w:szCs w:val="21"/>
                <w:vertAlign w:val="baseline"/>
                <w:lang w:val="en-US" w:eastAsia="zh-CN"/>
              </w:rPr>
              <w:t>280</w:t>
            </w:r>
            <w:r>
              <w:rPr>
                <w:rFonts w:hint="eastAsia" w:ascii="宋体" w:hAnsi="宋体" w:eastAsia="宋体"/>
                <w:b/>
                <w:bCs/>
                <w:sz w:val="21"/>
                <w:szCs w:val="21"/>
                <w:vertAlign w:val="baseline"/>
                <w:lang w:val="en-US" w:eastAsia="zh-CN"/>
              </w:rPr>
              <w:t>元/年</w:t>
            </w:r>
            <w:r>
              <w:rPr>
                <w:rFonts w:hint="eastAsia" w:ascii="宋体" w:hAnsi="宋体"/>
                <w:b/>
                <w:bCs/>
                <w:sz w:val="21"/>
                <w:szCs w:val="21"/>
                <w:vertAlign w:val="baseline"/>
                <w:lang w:val="en-US" w:eastAsia="zh-CN"/>
              </w:rPr>
              <w:t>，</w:t>
            </w:r>
            <w:r>
              <w:rPr>
                <w:rFonts w:hint="eastAsia" w:ascii="宋体" w:hAnsi="宋体" w:eastAsia="宋体"/>
                <w:b/>
                <w:bCs/>
                <w:sz w:val="21"/>
                <w:szCs w:val="21"/>
                <w:vertAlign w:val="baseline"/>
                <w:lang w:val="en-US" w:eastAsia="zh-CN"/>
              </w:rPr>
              <w:t>附属卡</w:t>
            </w:r>
            <w:r>
              <w:rPr>
                <w:rFonts w:hint="eastAsia" w:ascii="宋体" w:hAnsi="宋体"/>
                <w:b/>
                <w:bCs/>
                <w:sz w:val="21"/>
                <w:szCs w:val="21"/>
                <w:vertAlign w:val="baseline"/>
                <w:lang w:val="en-US" w:eastAsia="zh-CN"/>
              </w:rPr>
              <w:t>180</w:t>
            </w:r>
            <w:r>
              <w:rPr>
                <w:rFonts w:hint="eastAsia" w:ascii="宋体" w:hAnsi="宋体" w:eastAsia="宋体"/>
                <w:b/>
                <w:bCs/>
                <w:sz w:val="21"/>
                <w:szCs w:val="21"/>
                <w:vertAlign w:val="baseline"/>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sz w:val="21"/>
                <w:szCs w:val="21"/>
                <w:vertAlign w:val="baseline"/>
              </w:rPr>
            </w:pPr>
          </w:p>
        </w:tc>
        <w:tc>
          <w:tcPr>
            <w:tcW w:w="1314" w:type="dxa"/>
            <w:vMerge w:val="restart"/>
            <w:vAlign w:val="center"/>
          </w:tcPr>
          <w:p>
            <w:pPr>
              <w:spacing w:line="240" w:lineRule="auto"/>
              <w:jc w:val="center"/>
              <w:rPr>
                <w:rFonts w:hint="default"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圆鼎</w:t>
            </w:r>
            <w:r>
              <w:rPr>
                <w:rFonts w:hint="eastAsia" w:ascii="宋体" w:hAnsi="宋体"/>
                <w:b/>
                <w:bCs/>
                <w:sz w:val="21"/>
                <w:szCs w:val="21"/>
                <w:vertAlign w:val="baseline"/>
                <w:lang w:val="en-US" w:eastAsia="zh-CN"/>
              </w:rPr>
              <w:t>单位卡</w:t>
            </w: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普卡</w:t>
            </w:r>
          </w:p>
        </w:tc>
        <w:tc>
          <w:tcPr>
            <w:tcW w:w="4153" w:type="dxa"/>
            <w:vAlign w:val="center"/>
          </w:tcPr>
          <w:p>
            <w:pPr>
              <w:spacing w:line="240" w:lineRule="auto"/>
              <w:jc w:val="left"/>
              <w:rPr>
                <w:rFonts w:hint="default" w:ascii="宋体" w:hAnsi="宋体" w:eastAsia="宋体"/>
                <w:b/>
                <w:bCs/>
                <w:sz w:val="21"/>
                <w:szCs w:val="21"/>
                <w:vertAlign w:val="baseline"/>
              </w:rPr>
            </w:pPr>
            <w:r>
              <w:rPr>
                <w:rFonts w:hint="eastAsia" w:ascii="宋体" w:hAnsi="宋体"/>
                <w:b/>
                <w:bCs/>
                <w:sz w:val="21"/>
                <w:szCs w:val="21"/>
                <w:vertAlign w:val="baseline"/>
                <w:lang w:val="en-US" w:eastAsia="zh-CN"/>
              </w:rPr>
              <w:t>80元/年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sz w:val="21"/>
                <w:szCs w:val="21"/>
                <w:vertAlign w:val="baseline"/>
              </w:rPr>
            </w:pPr>
          </w:p>
        </w:tc>
        <w:tc>
          <w:tcPr>
            <w:tcW w:w="1314" w:type="dxa"/>
            <w:vMerge w:val="continue"/>
            <w:vAlign w:val="center"/>
          </w:tcPr>
          <w:p>
            <w:pPr>
              <w:spacing w:line="240" w:lineRule="auto"/>
              <w:jc w:val="center"/>
              <w:rPr>
                <w:rFonts w:hint="eastAsia" w:ascii="宋体" w:hAnsi="宋体" w:eastAsia="宋体"/>
                <w:b/>
                <w:bCs/>
                <w:sz w:val="21"/>
                <w:szCs w:val="21"/>
                <w:vertAlign w:val="baseline"/>
              </w:rPr>
            </w:pP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金卡</w:t>
            </w:r>
          </w:p>
        </w:tc>
        <w:tc>
          <w:tcPr>
            <w:tcW w:w="4153" w:type="dxa"/>
            <w:vAlign w:val="center"/>
          </w:tcPr>
          <w:p>
            <w:pPr>
              <w:spacing w:line="240" w:lineRule="auto"/>
              <w:jc w:val="left"/>
              <w:rPr>
                <w:rFonts w:hint="default" w:ascii="宋体" w:hAnsi="宋体" w:eastAsia="宋体"/>
                <w:b/>
                <w:bCs/>
                <w:sz w:val="21"/>
                <w:szCs w:val="21"/>
                <w:vertAlign w:val="baseline"/>
              </w:rPr>
            </w:pPr>
            <w:r>
              <w:rPr>
                <w:rFonts w:hint="eastAsia" w:ascii="宋体" w:hAnsi="宋体"/>
                <w:b/>
                <w:bCs/>
                <w:sz w:val="21"/>
                <w:szCs w:val="21"/>
                <w:vertAlign w:val="baseline"/>
                <w:lang w:val="en-US" w:eastAsia="zh-CN"/>
              </w:rPr>
              <w:t>160元/年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宋体" w:hAnsi="宋体" w:eastAsia="宋体"/>
                <w:b/>
                <w:bCs/>
                <w:sz w:val="21"/>
                <w:szCs w:val="21"/>
                <w:vertAlign w:val="baseline"/>
              </w:rPr>
            </w:pPr>
            <w:r>
              <w:rPr>
                <w:rFonts w:hint="eastAsia" w:ascii="宋体" w:hAnsi="宋体"/>
                <w:b/>
                <w:bCs/>
                <w:sz w:val="21"/>
                <w:szCs w:val="21"/>
                <w:vertAlign w:val="baseline"/>
                <w:lang w:val="en-US" w:eastAsia="zh-CN"/>
              </w:rPr>
              <w:t>预借现金手续费</w:t>
            </w:r>
          </w:p>
        </w:tc>
        <w:tc>
          <w:tcPr>
            <w:tcW w:w="6392" w:type="dxa"/>
            <w:gridSpan w:val="3"/>
            <w:vAlign w:val="center"/>
          </w:tcPr>
          <w:p>
            <w:pPr>
              <w:spacing w:line="240" w:lineRule="auto"/>
              <w:jc w:val="left"/>
              <w:rPr>
                <w:rFonts w:hint="eastAsia" w:ascii="宋体" w:hAnsi="宋体"/>
                <w:b/>
                <w:bCs/>
                <w:sz w:val="21"/>
                <w:szCs w:val="21"/>
                <w:vertAlign w:val="baseline"/>
                <w:lang w:eastAsia="zh-CN"/>
              </w:rPr>
            </w:pPr>
            <w:r>
              <w:rPr>
                <w:rFonts w:hint="eastAsia" w:ascii="宋体" w:hAnsi="宋体" w:eastAsia="宋体"/>
                <w:b/>
                <w:bCs/>
                <w:sz w:val="21"/>
                <w:szCs w:val="21"/>
                <w:vertAlign w:val="baseline"/>
              </w:rPr>
              <w:t>境内取现(转出)手续费按交易金额1%收取，最低3元</w:t>
            </w:r>
            <w:r>
              <w:rPr>
                <w:rFonts w:hint="eastAsia" w:ascii="宋体" w:hAnsi="宋体"/>
                <w:b/>
                <w:bCs/>
                <w:sz w:val="21"/>
                <w:szCs w:val="21"/>
                <w:vertAlign w:val="baseline"/>
                <w:lang w:eastAsia="zh-CN"/>
              </w:rPr>
              <w:t>。</w:t>
            </w:r>
            <w:r>
              <w:rPr>
                <w:rFonts w:hint="eastAsia" w:ascii="宋体" w:hAnsi="宋体" w:eastAsia="宋体"/>
                <w:b/>
                <w:bCs/>
                <w:sz w:val="21"/>
                <w:szCs w:val="21"/>
                <w:vertAlign w:val="baseline"/>
              </w:rPr>
              <w:t>取现或转账不区分同城异地，跨行取现不另收费。</w:t>
            </w:r>
          </w:p>
          <w:p>
            <w:pPr>
              <w:spacing w:line="240" w:lineRule="auto"/>
              <w:jc w:val="left"/>
              <w:rPr>
                <w:rFonts w:hint="eastAsia" w:ascii="宋体" w:hAnsi="宋体" w:eastAsia="宋体"/>
                <w:b/>
                <w:bCs/>
                <w:sz w:val="21"/>
                <w:szCs w:val="21"/>
                <w:vertAlign w:val="baseline"/>
              </w:rPr>
            </w:pPr>
            <w:r>
              <w:rPr>
                <w:rFonts w:hint="eastAsia" w:ascii="宋体" w:hAnsi="宋体"/>
                <w:b/>
                <w:bCs/>
                <w:sz w:val="15"/>
                <w:szCs w:val="15"/>
                <w:vertAlign w:val="baseline"/>
                <w:lang w:val="en-US" w:eastAsia="zh-CN"/>
              </w:rPr>
              <w:t>注：</w:t>
            </w:r>
            <w:r>
              <w:rPr>
                <w:rFonts w:hint="eastAsia" w:ascii="宋体" w:hAnsi="宋体" w:eastAsia="宋体"/>
                <w:b/>
                <w:bCs/>
                <w:sz w:val="15"/>
                <w:szCs w:val="15"/>
                <w:vertAlign w:val="baseline"/>
              </w:rPr>
              <w:t>溢缴款在本系统网内渠道(含柜面、ATM</w:t>
            </w:r>
            <w:r>
              <w:rPr>
                <w:rFonts w:hint="eastAsia" w:ascii="宋体" w:hAnsi="宋体"/>
                <w:b/>
                <w:bCs/>
                <w:sz w:val="15"/>
                <w:szCs w:val="15"/>
                <w:vertAlign w:val="baseline"/>
                <w:lang w:eastAsia="zh-CN"/>
              </w:rPr>
              <w:t>）</w:t>
            </w:r>
            <w:r>
              <w:rPr>
                <w:rFonts w:hint="eastAsia" w:ascii="宋体" w:hAnsi="宋体" w:eastAsia="宋体"/>
                <w:b/>
                <w:bCs/>
                <w:sz w:val="15"/>
                <w:szCs w:val="15"/>
                <w:vertAlign w:val="baseline"/>
              </w:rPr>
              <w:t>支取手续费</w:t>
            </w:r>
            <w:r>
              <w:rPr>
                <w:rFonts w:hint="eastAsia" w:ascii="宋体" w:hAnsi="宋体"/>
                <w:b/>
                <w:bCs/>
                <w:sz w:val="15"/>
                <w:szCs w:val="15"/>
                <w:vertAlign w:val="baseline"/>
                <w:lang w:val="en-US" w:eastAsia="zh-CN"/>
              </w:rPr>
              <w:t>暂不收取</w:t>
            </w:r>
            <w:r>
              <w:rPr>
                <w:rFonts w:hint="eastAsia" w:ascii="宋体" w:hAnsi="宋体" w:eastAsia="宋体"/>
                <w:b/>
                <w:bCs/>
                <w:sz w:val="15"/>
                <w:szCs w:val="15"/>
                <w:vertAlign w:val="baseli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4"/>
                <w:szCs w:val="24"/>
                <w:vertAlign w:val="baseline"/>
                <w:lang w:val="en-US" w:eastAsia="zh-CN"/>
              </w:rPr>
            </w:pPr>
            <w:r>
              <w:rPr>
                <w:rFonts w:hint="eastAsia" w:ascii="新宋体" w:hAnsi="新宋体" w:eastAsia="新宋体"/>
                <w:b/>
                <w:bCs/>
                <w:sz w:val="21"/>
                <w:szCs w:val="21"/>
                <w:vertAlign w:val="baseline"/>
                <w:lang w:val="en-US" w:eastAsia="zh-CN"/>
              </w:rPr>
              <w:t>境外取现手续费</w:t>
            </w:r>
          </w:p>
        </w:tc>
        <w:tc>
          <w:tcPr>
            <w:tcW w:w="6392" w:type="dxa"/>
            <w:gridSpan w:val="3"/>
            <w:vAlign w:val="center"/>
          </w:tcPr>
          <w:p>
            <w:pPr>
              <w:spacing w:line="240" w:lineRule="auto"/>
              <w:jc w:val="left"/>
              <w:rPr>
                <w:rFonts w:hint="eastAsia" w:ascii="新宋体" w:hAnsi="新宋体" w:eastAsia="新宋体"/>
                <w:b/>
                <w:bCs/>
                <w:sz w:val="24"/>
                <w:szCs w:val="24"/>
                <w:vertAlign w:val="baseline"/>
              </w:rPr>
            </w:pPr>
            <w:r>
              <w:rPr>
                <w:rFonts w:hint="eastAsia" w:ascii="宋体" w:hAnsi="宋体" w:eastAsia="宋体"/>
                <w:b/>
                <w:bCs/>
                <w:sz w:val="21"/>
                <w:szCs w:val="21"/>
                <w:vertAlign w:val="baseline"/>
              </w:rPr>
              <w:t>境外ATM取款按每笔取现金额3%收取，最低20元。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透支利息</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年利率18%，按月计收复利</w:t>
            </w:r>
          </w:p>
          <w:p>
            <w:pPr>
              <w:spacing w:line="240" w:lineRule="auto"/>
              <w:jc w:val="left"/>
              <w:rPr>
                <w:rFonts w:hint="eastAsia" w:ascii="宋体" w:hAnsi="宋体" w:eastAsia="宋体"/>
                <w:b/>
                <w:bCs/>
                <w:sz w:val="21"/>
                <w:szCs w:val="21"/>
                <w:vertAlign w:val="baseline"/>
              </w:rPr>
            </w:pPr>
            <w:r>
              <w:rPr>
                <w:rFonts w:hint="eastAsia" w:ascii="宋体" w:hAnsi="宋体" w:eastAsia="宋体"/>
                <w:b/>
                <w:bCs/>
                <w:sz w:val="15"/>
                <w:szCs w:val="15"/>
                <w:vertAlign w:val="baseline"/>
              </w:rPr>
              <w:t>(不享受免息还款待遇的交易均要支付透支利息)</w:t>
            </w:r>
            <w:r>
              <w:rPr>
                <w:rFonts w:hint="eastAsia" w:ascii="宋体" w:hAnsi="宋体" w:eastAsia="宋体"/>
                <w:b/>
                <w:bCs/>
                <w:sz w:val="21"/>
                <w:szCs w:val="21"/>
                <w:vertAlign w:val="baseli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违约金</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截止到期还款日，如持卡人未还款或还款金额不足最低还款额，则按最低还款额未还部分的5%收取违约金，最低为1元人民币。</w:t>
            </w:r>
          </w:p>
          <w:p>
            <w:pPr>
              <w:spacing w:line="240" w:lineRule="auto"/>
              <w:jc w:val="left"/>
              <w:rPr>
                <w:rFonts w:hint="eastAsia" w:ascii="宋体" w:hAnsi="宋体" w:eastAsia="宋体"/>
                <w:b/>
                <w:bCs/>
                <w:sz w:val="21"/>
                <w:szCs w:val="21"/>
                <w:vertAlign w:val="baseline"/>
              </w:rPr>
            </w:pPr>
            <w:r>
              <w:rPr>
                <w:rFonts w:hint="eastAsia" w:ascii="宋体" w:hAnsi="宋体" w:eastAsia="宋体"/>
                <w:b/>
                <w:bCs/>
                <w:sz w:val="15"/>
                <w:szCs w:val="15"/>
                <w:vertAlign w:val="baseline"/>
              </w:rPr>
              <w:t>计算公式:违约金=(最低还款额—截止到期还款日持卡人已还款额)x5%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损坏换卡手续费</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因圆鼎贷记卡卡片磁条消磁或损坏、卡片破损等原因换领新卡的，收取损坏换卡手续费。</w:t>
            </w:r>
            <w:r>
              <w:rPr>
                <w:rFonts w:hint="eastAsia" w:ascii="宋体" w:hAnsi="宋体"/>
                <w:b/>
                <w:bCs/>
                <w:sz w:val="21"/>
                <w:szCs w:val="21"/>
                <w:vertAlign w:val="baseline"/>
                <w:lang w:val="en-US" w:eastAsia="zh-CN"/>
              </w:rPr>
              <w:t>收费</w:t>
            </w:r>
            <w:r>
              <w:rPr>
                <w:rFonts w:hint="eastAsia" w:ascii="宋体" w:hAnsi="宋体" w:eastAsia="宋体"/>
                <w:b/>
                <w:bCs/>
                <w:sz w:val="21"/>
                <w:szCs w:val="21"/>
                <w:vertAlign w:val="baseline"/>
              </w:rPr>
              <w:t>标准:20元/卡，加急则为40元/卡。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挂失补卡手续费</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挂失手续费30元</w:t>
            </w:r>
            <w:r>
              <w:rPr>
                <w:rFonts w:hint="eastAsia" w:ascii="宋体" w:hAnsi="宋体"/>
                <w:b/>
                <w:bCs/>
                <w:sz w:val="21"/>
                <w:szCs w:val="21"/>
                <w:vertAlign w:val="baseline"/>
                <w:lang w:val="en-US" w:eastAsia="zh-CN"/>
              </w:rPr>
              <w:t>/卡/次</w:t>
            </w:r>
            <w:r>
              <w:rPr>
                <w:rFonts w:hint="eastAsia" w:ascii="宋体" w:hAnsi="宋体" w:eastAsia="宋体"/>
                <w:b/>
                <w:bCs/>
                <w:sz w:val="21"/>
                <w:szCs w:val="21"/>
                <w:vertAlign w:val="baseline"/>
              </w:rPr>
              <w:t>，补卡</w:t>
            </w:r>
            <w:r>
              <w:rPr>
                <w:rFonts w:hint="eastAsia" w:ascii="宋体" w:hAnsi="宋体"/>
                <w:b/>
                <w:bCs/>
                <w:sz w:val="21"/>
                <w:szCs w:val="21"/>
                <w:vertAlign w:val="baseline"/>
                <w:lang w:val="en-US" w:eastAsia="zh-CN"/>
              </w:rPr>
              <w:t>手续费</w:t>
            </w:r>
            <w:r>
              <w:rPr>
                <w:rFonts w:hint="eastAsia" w:ascii="宋体" w:hAnsi="宋体" w:eastAsia="宋体"/>
                <w:b/>
                <w:bCs/>
                <w:sz w:val="21"/>
                <w:szCs w:val="21"/>
                <w:vertAlign w:val="baseline"/>
              </w:rPr>
              <w:t>20元</w:t>
            </w:r>
            <w:r>
              <w:rPr>
                <w:rFonts w:hint="eastAsia" w:ascii="宋体" w:hAnsi="宋体"/>
                <w:b/>
                <w:bCs/>
                <w:sz w:val="21"/>
                <w:szCs w:val="21"/>
                <w:vertAlign w:val="baseline"/>
                <w:lang w:val="en-US" w:eastAsia="zh-CN"/>
              </w:rPr>
              <w:t>/卡/次</w:t>
            </w:r>
            <w:r>
              <w:rPr>
                <w:rFonts w:hint="eastAsia" w:ascii="宋体" w:hAnsi="宋体" w:eastAsia="宋体"/>
                <w:b/>
                <w:bCs/>
                <w:sz w:val="21"/>
                <w:szCs w:val="21"/>
                <w:vertAlign w:val="baseli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签购单调阅手续费</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持卡人申请调阅国内消费签购单服务的，如经调阅国内消费签购单，确认交易为持卡人所为则向持卡人收取调阅国内消费签购单手续费25元/份</w:t>
            </w:r>
            <w:r>
              <w:rPr>
                <w:rFonts w:hint="eastAsia" w:ascii="宋体" w:hAnsi="宋体"/>
                <w:b/>
                <w:bCs/>
                <w:sz w:val="21"/>
                <w:szCs w:val="21"/>
                <w:vertAlign w:val="baseline"/>
                <w:lang w:eastAsia="zh-CN"/>
              </w:rPr>
              <w:t>，</w:t>
            </w:r>
            <w:r>
              <w:rPr>
                <w:rFonts w:hint="eastAsia" w:ascii="宋体" w:hAnsi="宋体" w:eastAsia="宋体"/>
                <w:b/>
                <w:bCs/>
                <w:sz w:val="21"/>
                <w:szCs w:val="21"/>
                <w:vertAlign w:val="baseline"/>
              </w:rPr>
              <w:t>调阅境外消费签账单100元/份。如经调阅国内消费签购单，查明交易确为他人冒用或</w:t>
            </w:r>
            <w:r>
              <w:rPr>
                <w:rFonts w:hint="eastAsia" w:ascii="宋体" w:hAnsi="宋体"/>
                <w:b/>
                <w:bCs/>
                <w:sz w:val="21"/>
                <w:szCs w:val="21"/>
                <w:vertAlign w:val="baseline"/>
                <w:lang w:val="en-US" w:eastAsia="zh-CN"/>
              </w:rPr>
              <w:t>记账</w:t>
            </w:r>
            <w:r>
              <w:rPr>
                <w:rFonts w:hint="eastAsia" w:ascii="宋体" w:hAnsi="宋体" w:eastAsia="宋体"/>
                <w:b/>
                <w:bCs/>
                <w:sz w:val="21"/>
                <w:szCs w:val="21"/>
                <w:vertAlign w:val="baseline"/>
              </w:rPr>
              <w:t>错误，则不向持卡人收取本项费用。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vAlign w:val="center"/>
          </w:tcPr>
          <w:p>
            <w:pPr>
              <w:rPr>
                <w:rFonts w:hint="eastAsia" w:ascii="宋体" w:hAnsi="宋体" w:cs="宋体"/>
                <w:b/>
                <w:bCs/>
                <w:i w:val="0"/>
                <w:iCs w:val="0"/>
                <w:color w:val="000000"/>
                <w:sz w:val="21"/>
                <w:szCs w:val="21"/>
                <w:u w:val="none"/>
                <w:lang w:val="en-US" w:eastAsia="zh-CN"/>
              </w:rPr>
            </w:pPr>
            <w:r>
              <w:rPr>
                <w:rFonts w:hint="eastAsia" w:ascii="宋体" w:hAnsi="宋体" w:cs="宋体"/>
                <w:b/>
                <w:bCs/>
                <w:i w:val="0"/>
                <w:iCs w:val="0"/>
                <w:color w:val="000000"/>
                <w:sz w:val="21"/>
                <w:szCs w:val="21"/>
                <w:u w:val="none"/>
                <w:lang w:val="en-US" w:eastAsia="zh-CN"/>
              </w:rPr>
              <w:t>温馨提示：</w:t>
            </w:r>
          </w:p>
          <w:p>
            <w:pPr>
              <w:rPr>
                <w:rFonts w:hint="eastAsia" w:ascii="宋体" w:hAnsi="宋体" w:eastAsia="宋体" w:cs="宋体"/>
                <w:b/>
                <w:bCs/>
                <w:i w:val="0"/>
                <w:iCs w:val="0"/>
                <w:color w:val="000000"/>
                <w:sz w:val="21"/>
                <w:szCs w:val="21"/>
                <w:u w:val="none"/>
              </w:rPr>
            </w:pPr>
            <w:r>
              <w:rPr>
                <w:rFonts w:hint="eastAsia" w:ascii="宋体" w:hAnsi="宋体" w:cs="宋体"/>
                <w:b/>
                <w:bCs/>
                <w:i w:val="0"/>
                <w:iCs w:val="0"/>
                <w:color w:val="000000"/>
                <w:sz w:val="21"/>
                <w:szCs w:val="21"/>
                <w:u w:val="none"/>
                <w:lang w:val="en-US" w:eastAsia="zh-CN"/>
              </w:rPr>
              <w:t>1.</w:t>
            </w:r>
            <w:r>
              <w:rPr>
                <w:rFonts w:hint="eastAsia" w:ascii="宋体" w:hAnsi="宋体" w:eastAsia="宋体" w:cs="宋体"/>
                <w:b/>
                <w:bCs/>
                <w:i w:val="0"/>
                <w:iCs w:val="0"/>
                <w:color w:val="000000"/>
                <w:sz w:val="21"/>
                <w:szCs w:val="21"/>
                <w:u w:val="none"/>
              </w:rPr>
              <w:t>圆鼎贷记卡持卡人发生的各项费用，均在费用发生后采用内扣方式直接在持卡人账户中记收，不采用外收方式</w:t>
            </w:r>
            <w:r>
              <w:rPr>
                <w:rFonts w:hint="eastAsia" w:ascii="宋体" w:hAnsi="宋体" w:cs="宋体"/>
                <w:b/>
                <w:bCs/>
                <w:i w:val="0"/>
                <w:iCs w:val="0"/>
                <w:color w:val="000000"/>
                <w:sz w:val="21"/>
                <w:szCs w:val="21"/>
                <w:u w:val="none"/>
                <w:lang w:eastAsia="zh-CN"/>
              </w:rPr>
              <w:t>；</w:t>
            </w:r>
          </w:p>
          <w:p>
            <w:pPr>
              <w:rPr>
                <w:rFonts w:hint="eastAsia" w:ascii="宋体" w:hAnsi="宋体" w:cs="宋体"/>
                <w:b/>
                <w:bCs/>
                <w:i w:val="0"/>
                <w:iCs w:val="0"/>
                <w:color w:val="000000"/>
                <w:sz w:val="21"/>
                <w:szCs w:val="21"/>
                <w:u w:val="none"/>
                <w:lang w:val="en-US" w:eastAsia="zh-CN"/>
              </w:rPr>
            </w:pPr>
            <w:r>
              <w:rPr>
                <w:rFonts w:hint="eastAsia" w:ascii="宋体" w:hAnsi="宋体" w:cs="宋体"/>
                <w:b/>
                <w:bCs/>
                <w:i w:val="0"/>
                <w:iCs w:val="0"/>
                <w:color w:val="000000"/>
                <w:sz w:val="21"/>
                <w:szCs w:val="21"/>
                <w:u w:val="none"/>
                <w:lang w:val="en-US" w:eastAsia="zh-CN"/>
              </w:rPr>
              <w:t>2.姜堰</w:t>
            </w:r>
            <w:r>
              <w:rPr>
                <w:rFonts w:hint="eastAsia" w:ascii="宋体" w:hAnsi="宋体" w:eastAsia="宋体" w:cs="宋体"/>
                <w:b/>
                <w:bCs/>
                <w:i w:val="0"/>
                <w:iCs w:val="0"/>
                <w:color w:val="000000"/>
                <w:sz w:val="21"/>
                <w:szCs w:val="21"/>
                <w:u w:val="none"/>
              </w:rPr>
              <w:t>农村商业银行保留最终解释和修改权，并可视市场推广情况在《银行卡业务管理办法》</w:t>
            </w:r>
            <w:r>
              <w:rPr>
                <w:rFonts w:hint="eastAsia" w:ascii="宋体" w:hAnsi="宋体" w:cs="宋体"/>
                <w:b/>
                <w:bCs/>
                <w:i w:val="0"/>
                <w:iCs w:val="0"/>
                <w:color w:val="000000"/>
                <w:sz w:val="21"/>
                <w:szCs w:val="21"/>
                <w:u w:val="none"/>
                <w:lang w:val="en-US" w:eastAsia="zh-CN"/>
              </w:rPr>
              <w:t>及监管</w:t>
            </w:r>
            <w:r>
              <w:rPr>
                <w:rFonts w:hint="eastAsia" w:ascii="宋体" w:hAnsi="宋体" w:eastAsia="宋体" w:cs="宋体"/>
                <w:b/>
                <w:bCs/>
                <w:i w:val="0"/>
                <w:iCs w:val="0"/>
                <w:color w:val="000000"/>
                <w:sz w:val="21"/>
                <w:szCs w:val="21"/>
                <w:u w:val="none"/>
              </w:rPr>
              <w:t>规定范围内调整</w:t>
            </w:r>
            <w:r>
              <w:rPr>
                <w:rFonts w:hint="eastAsia" w:ascii="宋体" w:hAnsi="宋体" w:cs="宋体"/>
                <w:b/>
                <w:bCs/>
                <w:i w:val="0"/>
                <w:iCs w:val="0"/>
                <w:color w:val="000000"/>
                <w:sz w:val="21"/>
                <w:szCs w:val="21"/>
                <w:u w:val="none"/>
                <w:lang w:eastAsia="zh-CN"/>
              </w:rPr>
              <w:t>；</w:t>
            </w:r>
          </w:p>
          <w:p>
            <w:pPr>
              <w:numPr>
                <w:ilvl w:val="-1"/>
                <w:numId w:val="0"/>
              </w:numPr>
              <w:rPr>
                <w:rFonts w:hint="eastAsia" w:ascii="宋体" w:hAnsi="宋体" w:eastAsia="宋体" w:cs="宋体"/>
                <w:b/>
                <w:bCs/>
                <w:i w:val="0"/>
                <w:iCs w:val="0"/>
                <w:color w:val="000000"/>
                <w:sz w:val="21"/>
                <w:szCs w:val="21"/>
                <w:u w:val="none"/>
              </w:rPr>
            </w:pPr>
            <w:r>
              <w:rPr>
                <w:rFonts w:hint="eastAsia" w:ascii="宋体" w:hAnsi="宋体" w:cs="宋体"/>
                <w:b/>
                <w:bCs/>
                <w:i w:val="0"/>
                <w:iCs w:val="0"/>
                <w:color w:val="000000"/>
                <w:sz w:val="21"/>
                <w:szCs w:val="21"/>
                <w:u w:val="none"/>
                <w:lang w:val="en-US" w:eastAsia="zh-CN"/>
              </w:rPr>
              <w:t>3.</w:t>
            </w:r>
            <w:r>
              <w:rPr>
                <w:rFonts w:hint="eastAsia" w:ascii="宋体" w:hAnsi="宋体" w:eastAsia="宋体" w:cs="宋体"/>
                <w:b/>
                <w:bCs/>
                <w:i w:val="0"/>
                <w:iCs w:val="0"/>
                <w:color w:val="000000"/>
                <w:sz w:val="21"/>
                <w:szCs w:val="21"/>
                <w:u w:val="none"/>
              </w:rPr>
              <w:t>收费信息变更可通过</w:t>
            </w:r>
            <w:r>
              <w:rPr>
                <w:rFonts w:hint="eastAsia" w:ascii="宋体" w:hAnsi="宋体" w:cs="宋体"/>
                <w:b/>
                <w:bCs/>
                <w:i w:val="0"/>
                <w:iCs w:val="0"/>
                <w:color w:val="000000"/>
                <w:sz w:val="21"/>
                <w:szCs w:val="21"/>
                <w:u w:val="none"/>
                <w:lang w:val="en-US" w:eastAsia="zh-CN"/>
              </w:rPr>
              <w:t>www</w:t>
            </w:r>
            <w:r>
              <w:rPr>
                <w:rFonts w:hint="eastAsia" w:ascii="宋体" w:hAnsi="宋体" w:eastAsia="宋体" w:cs="宋体"/>
                <w:b/>
                <w:bCs/>
                <w:i w:val="0"/>
                <w:iCs w:val="0"/>
                <w:color w:val="000000"/>
                <w:sz w:val="21"/>
                <w:szCs w:val="21"/>
                <w:u w:val="none"/>
              </w:rPr>
              <w:t>.js96008.com或4008296008进行查询；</w:t>
            </w:r>
          </w:p>
          <w:p>
            <w:pPr>
              <w:numPr>
                <w:ilvl w:val="0"/>
                <w:numId w:val="0"/>
              </w:numPr>
              <w:spacing w:line="240" w:lineRule="auto"/>
              <w:jc w:val="left"/>
              <w:rPr>
                <w:rFonts w:hint="eastAsia" w:ascii="宋体" w:hAnsi="宋体" w:eastAsia="宋体"/>
                <w:b/>
                <w:bCs/>
                <w:sz w:val="21"/>
                <w:szCs w:val="21"/>
                <w:vertAlign w:val="baseline"/>
              </w:rPr>
            </w:pPr>
            <w:r>
              <w:rPr>
                <w:rFonts w:hint="eastAsia" w:ascii="宋体" w:hAnsi="宋体" w:cs="宋体"/>
                <w:b/>
                <w:bCs/>
                <w:i w:val="0"/>
                <w:iCs w:val="0"/>
                <w:color w:val="000000"/>
                <w:sz w:val="21"/>
                <w:szCs w:val="21"/>
                <w:u w:val="none"/>
                <w:lang w:val="en-US" w:eastAsia="zh-CN"/>
              </w:rPr>
              <w:t>4.</w:t>
            </w:r>
            <w:r>
              <w:rPr>
                <w:rFonts w:hint="eastAsia" w:ascii="宋体" w:hAnsi="宋体" w:eastAsia="宋体" w:cs="宋体"/>
                <w:b/>
                <w:bCs/>
                <w:i w:val="0"/>
                <w:iCs w:val="0"/>
                <w:color w:val="000000"/>
                <w:sz w:val="21"/>
                <w:szCs w:val="21"/>
                <w:u w:val="none"/>
              </w:rPr>
              <w:t>信息变更以</w:t>
            </w:r>
            <w:r>
              <w:rPr>
                <w:rFonts w:hint="eastAsia" w:ascii="宋体" w:hAnsi="宋体" w:cs="宋体"/>
                <w:b/>
                <w:bCs/>
                <w:i w:val="0"/>
                <w:iCs w:val="0"/>
                <w:color w:val="000000"/>
                <w:sz w:val="21"/>
                <w:szCs w:val="21"/>
                <w:u w:val="none"/>
                <w:lang w:val="en-US" w:eastAsia="zh-CN"/>
              </w:rPr>
              <w:t>姜堰</w:t>
            </w:r>
            <w:r>
              <w:rPr>
                <w:rFonts w:hint="eastAsia" w:ascii="宋体" w:hAnsi="宋体" w:eastAsia="宋体" w:cs="宋体"/>
                <w:b/>
                <w:bCs/>
                <w:i w:val="0"/>
                <w:iCs w:val="0"/>
                <w:color w:val="000000"/>
                <w:sz w:val="21"/>
                <w:szCs w:val="21"/>
                <w:u w:val="none"/>
              </w:rPr>
              <w:t>农村商业银行公告为准，恕不另行通知。</w:t>
            </w:r>
          </w:p>
        </w:tc>
      </w:tr>
    </w:tbl>
    <w:p>
      <w:pPr>
        <w:spacing w:before="157" w:beforeLines="50"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持卡人声明</w:t>
      </w:r>
      <w:r>
        <w:rPr>
          <w:rFonts w:hint="eastAsia" w:ascii="新宋体" w:hAnsi="新宋体" w:eastAsia="新宋体"/>
          <w:b/>
          <w:bCs/>
          <w:sz w:val="24"/>
          <w:szCs w:val="24"/>
          <w:lang w:eastAsia="zh-CN"/>
        </w:rPr>
        <w:t>：</w:t>
      </w:r>
      <w:r>
        <w:rPr>
          <w:rFonts w:hint="eastAsia" w:ascii="新宋体" w:hAnsi="新宋体" w:eastAsia="新宋体"/>
          <w:b/>
          <w:bCs/>
          <w:sz w:val="24"/>
          <w:szCs w:val="24"/>
        </w:rPr>
        <w:t>本人已仔细阅读本领用合约各条款，甲方已依法向乙方提示了相关条款（特别是含有黑体字标题或黑体字文字以及含有特殊符号的条款），甲方已应乙方要求对相关条款的概念、内容及法律效果做了说明和释明，乙方已经知悉并理解上述条款。</w:t>
      </w:r>
    </w:p>
    <w:p>
      <w:pPr>
        <w:spacing w:line="360" w:lineRule="auto"/>
        <w:ind w:firstLine="0" w:firstLineChars="0"/>
        <w:rPr>
          <w:rFonts w:hint="eastAsia" w:ascii="新宋体" w:hAnsi="新宋体" w:eastAsia="新宋体"/>
          <w:b/>
          <w:bCs/>
          <w:sz w:val="24"/>
          <w:szCs w:val="24"/>
        </w:rPr>
      </w:pPr>
    </w:p>
    <w:p>
      <w:pPr>
        <w:spacing w:line="360" w:lineRule="auto"/>
        <w:ind w:firstLine="482" w:firstLineChars="200"/>
        <w:rPr>
          <w:rFonts w:hint="eastAsia" w:ascii="新宋体" w:hAnsi="新宋体" w:eastAsia="新宋体"/>
          <w:b/>
          <w:bCs/>
          <w:sz w:val="24"/>
          <w:szCs w:val="24"/>
        </w:rPr>
      </w:pPr>
    </w:p>
    <w:p>
      <w:pPr>
        <w:rPr>
          <w:rFonts w:hint="eastAsia" w:eastAsia="宋体"/>
          <w:lang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panose1 w:val="02000000000000000000"/>
    <w:charset w:val="86"/>
    <w:family w:val="auto"/>
    <w:pitch w:val="default"/>
    <w:sig w:usb0="A00002BF" w:usb1="184F6CFA" w:usb2="00000012" w:usb3="00000000" w:csb0="00040001" w:csb1="00000000"/>
  </w:font>
  <w:font w:name="新宋体">
    <w:panose1 w:val="02010609030101010101"/>
    <w:charset w:val="86"/>
    <w:family w:val="modern"/>
    <w:pitch w:val="default"/>
    <w:sig w:usb0="0000028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0FF81C"/>
    <w:multiLevelType w:val="singleLevel"/>
    <w:tmpl w:val="8D0FF81C"/>
    <w:lvl w:ilvl="0" w:tentative="0">
      <w:start w:val="6"/>
      <w:numFmt w:val="chineseCounting"/>
      <w:suff w:val="space"/>
      <w:lvlText w:val="第%1条"/>
      <w:lvlJc w:val="left"/>
      <w:rPr>
        <w:rFonts w:hint="eastAsia"/>
      </w:rPr>
    </w:lvl>
  </w:abstractNum>
  <w:abstractNum w:abstractNumId="1">
    <w:nsid w:val="15C08476"/>
    <w:multiLevelType w:val="singleLevel"/>
    <w:tmpl w:val="15C08476"/>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xNmMxZjgzNDM0MDMyYmJjYjRiYzExNThlODQwNDUifQ=="/>
  </w:docVars>
  <w:rsids>
    <w:rsidRoot w:val="002D7B4F"/>
    <w:rsid w:val="000F5A65"/>
    <w:rsid w:val="002D7B4F"/>
    <w:rsid w:val="00563274"/>
    <w:rsid w:val="006360BD"/>
    <w:rsid w:val="006F33F5"/>
    <w:rsid w:val="00D24FF0"/>
    <w:rsid w:val="011A680C"/>
    <w:rsid w:val="015123B9"/>
    <w:rsid w:val="018C519F"/>
    <w:rsid w:val="019D115B"/>
    <w:rsid w:val="01B4619B"/>
    <w:rsid w:val="01CE3A0A"/>
    <w:rsid w:val="02511F45"/>
    <w:rsid w:val="0281282A"/>
    <w:rsid w:val="028D7421"/>
    <w:rsid w:val="02D12DE2"/>
    <w:rsid w:val="03144DDE"/>
    <w:rsid w:val="03164D69"/>
    <w:rsid w:val="03402545"/>
    <w:rsid w:val="035E2B6B"/>
    <w:rsid w:val="03962305"/>
    <w:rsid w:val="044D60D6"/>
    <w:rsid w:val="04695C6C"/>
    <w:rsid w:val="04956A61"/>
    <w:rsid w:val="04A44EF6"/>
    <w:rsid w:val="04CD7FA9"/>
    <w:rsid w:val="04CE3D21"/>
    <w:rsid w:val="058C1C12"/>
    <w:rsid w:val="05BA125E"/>
    <w:rsid w:val="05E040EB"/>
    <w:rsid w:val="05E41A4E"/>
    <w:rsid w:val="06224324"/>
    <w:rsid w:val="066F5090"/>
    <w:rsid w:val="06783F44"/>
    <w:rsid w:val="067B1C86"/>
    <w:rsid w:val="06881B9B"/>
    <w:rsid w:val="06FF6413"/>
    <w:rsid w:val="071B47E8"/>
    <w:rsid w:val="071C5217"/>
    <w:rsid w:val="074107DA"/>
    <w:rsid w:val="07524795"/>
    <w:rsid w:val="07B13BB2"/>
    <w:rsid w:val="07D478A0"/>
    <w:rsid w:val="08236132"/>
    <w:rsid w:val="082735D0"/>
    <w:rsid w:val="085B1D6F"/>
    <w:rsid w:val="08874912"/>
    <w:rsid w:val="08935065"/>
    <w:rsid w:val="08DF02AB"/>
    <w:rsid w:val="08ED11F9"/>
    <w:rsid w:val="09434CDD"/>
    <w:rsid w:val="09436A8B"/>
    <w:rsid w:val="097F1A8E"/>
    <w:rsid w:val="098E3A7F"/>
    <w:rsid w:val="09B039F5"/>
    <w:rsid w:val="09C86E72"/>
    <w:rsid w:val="09CB4CD3"/>
    <w:rsid w:val="09DF42DA"/>
    <w:rsid w:val="09F907A8"/>
    <w:rsid w:val="0A1421D6"/>
    <w:rsid w:val="0A306916"/>
    <w:rsid w:val="0A3E36F7"/>
    <w:rsid w:val="0A48059B"/>
    <w:rsid w:val="0A540824"/>
    <w:rsid w:val="0A717628"/>
    <w:rsid w:val="0A801619"/>
    <w:rsid w:val="0AFB3396"/>
    <w:rsid w:val="0B494101"/>
    <w:rsid w:val="0BA92DF2"/>
    <w:rsid w:val="0BD22349"/>
    <w:rsid w:val="0BDF05C2"/>
    <w:rsid w:val="0BFC4CB5"/>
    <w:rsid w:val="0C05537A"/>
    <w:rsid w:val="0C4A6383"/>
    <w:rsid w:val="0C7B478E"/>
    <w:rsid w:val="0C9413AC"/>
    <w:rsid w:val="0CC9374C"/>
    <w:rsid w:val="0CFC0787"/>
    <w:rsid w:val="0D1E2111"/>
    <w:rsid w:val="0D387228"/>
    <w:rsid w:val="0D3A63F7"/>
    <w:rsid w:val="0D4E3C51"/>
    <w:rsid w:val="0D850CF2"/>
    <w:rsid w:val="0D935B07"/>
    <w:rsid w:val="0DB735A4"/>
    <w:rsid w:val="0E94782B"/>
    <w:rsid w:val="0EA7186A"/>
    <w:rsid w:val="0EB75826"/>
    <w:rsid w:val="0F274759"/>
    <w:rsid w:val="0FC24482"/>
    <w:rsid w:val="1000714A"/>
    <w:rsid w:val="10066A65"/>
    <w:rsid w:val="103E61FE"/>
    <w:rsid w:val="107E484D"/>
    <w:rsid w:val="108F51B6"/>
    <w:rsid w:val="111927C8"/>
    <w:rsid w:val="11472381"/>
    <w:rsid w:val="11AC2B43"/>
    <w:rsid w:val="11B04EDA"/>
    <w:rsid w:val="11B524F0"/>
    <w:rsid w:val="11DA1F57"/>
    <w:rsid w:val="12042B30"/>
    <w:rsid w:val="121A2353"/>
    <w:rsid w:val="128679E9"/>
    <w:rsid w:val="12E52961"/>
    <w:rsid w:val="12E765F3"/>
    <w:rsid w:val="1300779B"/>
    <w:rsid w:val="138C3C92"/>
    <w:rsid w:val="13E41A51"/>
    <w:rsid w:val="13EE3A98"/>
    <w:rsid w:val="141A5DAD"/>
    <w:rsid w:val="14466287"/>
    <w:rsid w:val="14712596"/>
    <w:rsid w:val="148B12E6"/>
    <w:rsid w:val="155C2C83"/>
    <w:rsid w:val="15877D00"/>
    <w:rsid w:val="15A832B6"/>
    <w:rsid w:val="15C076B6"/>
    <w:rsid w:val="15CA22E2"/>
    <w:rsid w:val="16077093"/>
    <w:rsid w:val="16227A29"/>
    <w:rsid w:val="16B5089D"/>
    <w:rsid w:val="16CB4564"/>
    <w:rsid w:val="17321EED"/>
    <w:rsid w:val="17681DB3"/>
    <w:rsid w:val="17AD77C6"/>
    <w:rsid w:val="17AF1EAD"/>
    <w:rsid w:val="17B172B6"/>
    <w:rsid w:val="17DA4A5F"/>
    <w:rsid w:val="17FD3C22"/>
    <w:rsid w:val="18055854"/>
    <w:rsid w:val="181141F9"/>
    <w:rsid w:val="182D77EC"/>
    <w:rsid w:val="18585984"/>
    <w:rsid w:val="18714C97"/>
    <w:rsid w:val="18AE48C0"/>
    <w:rsid w:val="18B0756E"/>
    <w:rsid w:val="18C63235"/>
    <w:rsid w:val="18D8695A"/>
    <w:rsid w:val="194E6447"/>
    <w:rsid w:val="19694186"/>
    <w:rsid w:val="19AF378F"/>
    <w:rsid w:val="19E27BFB"/>
    <w:rsid w:val="19EB7592"/>
    <w:rsid w:val="19FB2A6A"/>
    <w:rsid w:val="19FF5EA3"/>
    <w:rsid w:val="1A197394"/>
    <w:rsid w:val="1A8E1B30"/>
    <w:rsid w:val="1A8F063F"/>
    <w:rsid w:val="1B043BA1"/>
    <w:rsid w:val="1B2524C0"/>
    <w:rsid w:val="1B304996"/>
    <w:rsid w:val="1B616AAC"/>
    <w:rsid w:val="1BD27CA4"/>
    <w:rsid w:val="1BE1130C"/>
    <w:rsid w:val="1BEA20AB"/>
    <w:rsid w:val="1BEF3830"/>
    <w:rsid w:val="1BEF4851"/>
    <w:rsid w:val="1C136791"/>
    <w:rsid w:val="1C4F709D"/>
    <w:rsid w:val="1C6C40F3"/>
    <w:rsid w:val="1C7D1E5D"/>
    <w:rsid w:val="1C850D11"/>
    <w:rsid w:val="1C907DE2"/>
    <w:rsid w:val="1CAE64BA"/>
    <w:rsid w:val="1CB515F6"/>
    <w:rsid w:val="1CDA2E0B"/>
    <w:rsid w:val="1D0B1216"/>
    <w:rsid w:val="1D532BBD"/>
    <w:rsid w:val="1DD106B2"/>
    <w:rsid w:val="1E2F7187"/>
    <w:rsid w:val="1E320A25"/>
    <w:rsid w:val="1E8703FF"/>
    <w:rsid w:val="1E870D71"/>
    <w:rsid w:val="1EEC32CA"/>
    <w:rsid w:val="1F026649"/>
    <w:rsid w:val="1FDE0E64"/>
    <w:rsid w:val="20474C5B"/>
    <w:rsid w:val="20523600"/>
    <w:rsid w:val="20796DDF"/>
    <w:rsid w:val="207E43F5"/>
    <w:rsid w:val="20801F1B"/>
    <w:rsid w:val="208A2D9A"/>
    <w:rsid w:val="208F03B0"/>
    <w:rsid w:val="209459C7"/>
    <w:rsid w:val="209F7311"/>
    <w:rsid w:val="21025026"/>
    <w:rsid w:val="21112EA2"/>
    <w:rsid w:val="211A5ECC"/>
    <w:rsid w:val="214B077B"/>
    <w:rsid w:val="21A01B85"/>
    <w:rsid w:val="21B46321"/>
    <w:rsid w:val="21BD0E66"/>
    <w:rsid w:val="21D70AAC"/>
    <w:rsid w:val="21E93AF0"/>
    <w:rsid w:val="21EF55AB"/>
    <w:rsid w:val="227B6E3E"/>
    <w:rsid w:val="2298179E"/>
    <w:rsid w:val="229C324C"/>
    <w:rsid w:val="232E27B5"/>
    <w:rsid w:val="239302D9"/>
    <w:rsid w:val="24156E1F"/>
    <w:rsid w:val="24374FE7"/>
    <w:rsid w:val="246F29D3"/>
    <w:rsid w:val="24B2466D"/>
    <w:rsid w:val="24BC54EC"/>
    <w:rsid w:val="24CC1BD3"/>
    <w:rsid w:val="24D6035C"/>
    <w:rsid w:val="250A26FB"/>
    <w:rsid w:val="25837E60"/>
    <w:rsid w:val="25A93CC2"/>
    <w:rsid w:val="25BA41F4"/>
    <w:rsid w:val="261D3BE1"/>
    <w:rsid w:val="264B2FCC"/>
    <w:rsid w:val="26B97F35"/>
    <w:rsid w:val="273B6B9C"/>
    <w:rsid w:val="277D5407"/>
    <w:rsid w:val="27E35340"/>
    <w:rsid w:val="28081174"/>
    <w:rsid w:val="2810627B"/>
    <w:rsid w:val="281C077C"/>
    <w:rsid w:val="287E31E4"/>
    <w:rsid w:val="28AD1D1C"/>
    <w:rsid w:val="28F811E9"/>
    <w:rsid w:val="29015BC3"/>
    <w:rsid w:val="293E0BC6"/>
    <w:rsid w:val="297E7214"/>
    <w:rsid w:val="29A22507"/>
    <w:rsid w:val="29B33362"/>
    <w:rsid w:val="2A3F0751"/>
    <w:rsid w:val="2B1F1E85"/>
    <w:rsid w:val="2B2A1401"/>
    <w:rsid w:val="2B3703A2"/>
    <w:rsid w:val="2BB331A5"/>
    <w:rsid w:val="2BC96E6C"/>
    <w:rsid w:val="2BEF7F55"/>
    <w:rsid w:val="2C0B0757"/>
    <w:rsid w:val="2C3F2C8B"/>
    <w:rsid w:val="2C5B392A"/>
    <w:rsid w:val="2C73502A"/>
    <w:rsid w:val="2CA90A4C"/>
    <w:rsid w:val="2CAE7E10"/>
    <w:rsid w:val="2D522E91"/>
    <w:rsid w:val="2D696DCA"/>
    <w:rsid w:val="2D760125"/>
    <w:rsid w:val="2DBB4593"/>
    <w:rsid w:val="2DF126AA"/>
    <w:rsid w:val="2DF857E7"/>
    <w:rsid w:val="2DFB52D7"/>
    <w:rsid w:val="2E100D83"/>
    <w:rsid w:val="2E254600"/>
    <w:rsid w:val="2E8E1CA7"/>
    <w:rsid w:val="2E976DAE"/>
    <w:rsid w:val="2EA17C2D"/>
    <w:rsid w:val="2EAB4607"/>
    <w:rsid w:val="2F25085E"/>
    <w:rsid w:val="2F4C5680"/>
    <w:rsid w:val="2F6F78C9"/>
    <w:rsid w:val="2FBC45F2"/>
    <w:rsid w:val="2FD656B4"/>
    <w:rsid w:val="2FD858D0"/>
    <w:rsid w:val="2FDD2EE6"/>
    <w:rsid w:val="30122868"/>
    <w:rsid w:val="304408C1"/>
    <w:rsid w:val="30782C0F"/>
    <w:rsid w:val="30901D07"/>
    <w:rsid w:val="30CB2D3F"/>
    <w:rsid w:val="31083F93"/>
    <w:rsid w:val="31B935CC"/>
    <w:rsid w:val="32026C34"/>
    <w:rsid w:val="32423D61"/>
    <w:rsid w:val="325660F5"/>
    <w:rsid w:val="325D3E6B"/>
    <w:rsid w:val="326F50AC"/>
    <w:rsid w:val="32843AED"/>
    <w:rsid w:val="32AE0B6A"/>
    <w:rsid w:val="32EB4869"/>
    <w:rsid w:val="334212B2"/>
    <w:rsid w:val="335214F5"/>
    <w:rsid w:val="33957634"/>
    <w:rsid w:val="33B421B0"/>
    <w:rsid w:val="33B757FC"/>
    <w:rsid w:val="33EF143A"/>
    <w:rsid w:val="34871673"/>
    <w:rsid w:val="34B32468"/>
    <w:rsid w:val="34C477A5"/>
    <w:rsid w:val="34C73158"/>
    <w:rsid w:val="34D647CB"/>
    <w:rsid w:val="353A0493"/>
    <w:rsid w:val="355F7EFA"/>
    <w:rsid w:val="35831E3A"/>
    <w:rsid w:val="35AE2C2F"/>
    <w:rsid w:val="35B069A7"/>
    <w:rsid w:val="35D02BA5"/>
    <w:rsid w:val="36027286"/>
    <w:rsid w:val="3606022A"/>
    <w:rsid w:val="361909F0"/>
    <w:rsid w:val="3623361D"/>
    <w:rsid w:val="36545584"/>
    <w:rsid w:val="36AE738B"/>
    <w:rsid w:val="36F01751"/>
    <w:rsid w:val="36F86858"/>
    <w:rsid w:val="375270EE"/>
    <w:rsid w:val="377F2AD5"/>
    <w:rsid w:val="37BC7885"/>
    <w:rsid w:val="37E666B0"/>
    <w:rsid w:val="37FC4126"/>
    <w:rsid w:val="381E409C"/>
    <w:rsid w:val="382235C6"/>
    <w:rsid w:val="38230A27"/>
    <w:rsid w:val="389438E9"/>
    <w:rsid w:val="389912BB"/>
    <w:rsid w:val="38997BC6"/>
    <w:rsid w:val="38A04AE4"/>
    <w:rsid w:val="38D330D8"/>
    <w:rsid w:val="38DD5D05"/>
    <w:rsid w:val="394418E0"/>
    <w:rsid w:val="39535FC7"/>
    <w:rsid w:val="396401D4"/>
    <w:rsid w:val="39C742BF"/>
    <w:rsid w:val="39D47B84"/>
    <w:rsid w:val="39F41558"/>
    <w:rsid w:val="3A086DB2"/>
    <w:rsid w:val="3A2F2590"/>
    <w:rsid w:val="3A557B1D"/>
    <w:rsid w:val="3A5E5686"/>
    <w:rsid w:val="3A976388"/>
    <w:rsid w:val="3AB605BC"/>
    <w:rsid w:val="3AB807D8"/>
    <w:rsid w:val="3B2319C9"/>
    <w:rsid w:val="3B3F2CA7"/>
    <w:rsid w:val="3B893098"/>
    <w:rsid w:val="3BB471E5"/>
    <w:rsid w:val="3BB77B37"/>
    <w:rsid w:val="3C157564"/>
    <w:rsid w:val="3C1934F8"/>
    <w:rsid w:val="3C4E0CC8"/>
    <w:rsid w:val="3C795D45"/>
    <w:rsid w:val="3CA97838"/>
    <w:rsid w:val="3CDC56C6"/>
    <w:rsid w:val="3CE56887"/>
    <w:rsid w:val="3CF61143"/>
    <w:rsid w:val="3D470A38"/>
    <w:rsid w:val="3D8C1AA8"/>
    <w:rsid w:val="3DE1331C"/>
    <w:rsid w:val="3DEB2C72"/>
    <w:rsid w:val="3DEC0798"/>
    <w:rsid w:val="3E126451"/>
    <w:rsid w:val="3E5500EC"/>
    <w:rsid w:val="3E815E94"/>
    <w:rsid w:val="3E88226F"/>
    <w:rsid w:val="3E9E5F37"/>
    <w:rsid w:val="3EA8088F"/>
    <w:rsid w:val="3EED6576"/>
    <w:rsid w:val="3F0B4C4E"/>
    <w:rsid w:val="3F1818D6"/>
    <w:rsid w:val="3F4E3145"/>
    <w:rsid w:val="3F7869FD"/>
    <w:rsid w:val="3FAA4467"/>
    <w:rsid w:val="3FCF3ECE"/>
    <w:rsid w:val="3FDB65EB"/>
    <w:rsid w:val="3FF878C8"/>
    <w:rsid w:val="40966A66"/>
    <w:rsid w:val="40A610D2"/>
    <w:rsid w:val="40BC4452"/>
    <w:rsid w:val="40E340D5"/>
    <w:rsid w:val="40E51BFB"/>
    <w:rsid w:val="4101455B"/>
    <w:rsid w:val="41067DC3"/>
    <w:rsid w:val="41405083"/>
    <w:rsid w:val="416E1748"/>
    <w:rsid w:val="4176149F"/>
    <w:rsid w:val="422419E7"/>
    <w:rsid w:val="423F17DF"/>
    <w:rsid w:val="42756FAE"/>
    <w:rsid w:val="43086074"/>
    <w:rsid w:val="43346E69"/>
    <w:rsid w:val="43C26223"/>
    <w:rsid w:val="44330ECF"/>
    <w:rsid w:val="44654DA5"/>
    <w:rsid w:val="44953938"/>
    <w:rsid w:val="449D0A3E"/>
    <w:rsid w:val="44C61D43"/>
    <w:rsid w:val="44CD30D2"/>
    <w:rsid w:val="458A2D71"/>
    <w:rsid w:val="45F823D0"/>
    <w:rsid w:val="461B1C1B"/>
    <w:rsid w:val="469D2F78"/>
    <w:rsid w:val="46A81885"/>
    <w:rsid w:val="46AC31BB"/>
    <w:rsid w:val="46B8648E"/>
    <w:rsid w:val="476475F1"/>
    <w:rsid w:val="476D64A6"/>
    <w:rsid w:val="47AD2D46"/>
    <w:rsid w:val="47DB5B06"/>
    <w:rsid w:val="47DE1152"/>
    <w:rsid w:val="47FC5A7C"/>
    <w:rsid w:val="48117779"/>
    <w:rsid w:val="48164D90"/>
    <w:rsid w:val="482A4397"/>
    <w:rsid w:val="485633DE"/>
    <w:rsid w:val="486F2464"/>
    <w:rsid w:val="48873598"/>
    <w:rsid w:val="488F73F5"/>
    <w:rsid w:val="48C911E0"/>
    <w:rsid w:val="48D77319"/>
    <w:rsid w:val="49262DB0"/>
    <w:rsid w:val="49282FCC"/>
    <w:rsid w:val="49425710"/>
    <w:rsid w:val="49697141"/>
    <w:rsid w:val="49AB59AC"/>
    <w:rsid w:val="49B54134"/>
    <w:rsid w:val="49BB09E9"/>
    <w:rsid w:val="49BC1967"/>
    <w:rsid w:val="4A205A52"/>
    <w:rsid w:val="4A612C33"/>
    <w:rsid w:val="4A6F69D9"/>
    <w:rsid w:val="4AE90539"/>
    <w:rsid w:val="4B007631"/>
    <w:rsid w:val="4B1F3F5B"/>
    <w:rsid w:val="4B223A4B"/>
    <w:rsid w:val="4B425DC3"/>
    <w:rsid w:val="4B58121B"/>
    <w:rsid w:val="4B777F69"/>
    <w:rsid w:val="4B8D5369"/>
    <w:rsid w:val="4BCA036B"/>
    <w:rsid w:val="4BF957F9"/>
    <w:rsid w:val="4C107D48"/>
    <w:rsid w:val="4C1A4723"/>
    <w:rsid w:val="4C1C493F"/>
    <w:rsid w:val="4CDF04FA"/>
    <w:rsid w:val="4CE74F4D"/>
    <w:rsid w:val="4CF51418"/>
    <w:rsid w:val="4D2C0BB1"/>
    <w:rsid w:val="4D3A1520"/>
    <w:rsid w:val="4D4E0B28"/>
    <w:rsid w:val="4DA370C6"/>
    <w:rsid w:val="4DD51249"/>
    <w:rsid w:val="4DD52FF7"/>
    <w:rsid w:val="4DD86643"/>
    <w:rsid w:val="4E380649"/>
    <w:rsid w:val="4E4C6738"/>
    <w:rsid w:val="4E6B015D"/>
    <w:rsid w:val="4E754D46"/>
    <w:rsid w:val="4E766588"/>
    <w:rsid w:val="4E780636"/>
    <w:rsid w:val="4E7E7193"/>
    <w:rsid w:val="4E9904C8"/>
    <w:rsid w:val="4EB40E5E"/>
    <w:rsid w:val="4EDE5EDB"/>
    <w:rsid w:val="4EF86F9D"/>
    <w:rsid w:val="4F3D2C02"/>
    <w:rsid w:val="4F452D8C"/>
    <w:rsid w:val="4FBA4253"/>
    <w:rsid w:val="4FD95020"/>
    <w:rsid w:val="50190294"/>
    <w:rsid w:val="50485D02"/>
    <w:rsid w:val="508D27A6"/>
    <w:rsid w:val="50903205"/>
    <w:rsid w:val="50CF01D2"/>
    <w:rsid w:val="513149E8"/>
    <w:rsid w:val="51331174"/>
    <w:rsid w:val="51497F84"/>
    <w:rsid w:val="51BA1DE7"/>
    <w:rsid w:val="51CB2747"/>
    <w:rsid w:val="51F6353C"/>
    <w:rsid w:val="521C7ABE"/>
    <w:rsid w:val="522E2CD6"/>
    <w:rsid w:val="523522B6"/>
    <w:rsid w:val="524E5126"/>
    <w:rsid w:val="52624EAC"/>
    <w:rsid w:val="52B72CCB"/>
    <w:rsid w:val="52DC0984"/>
    <w:rsid w:val="53011576"/>
    <w:rsid w:val="53426A39"/>
    <w:rsid w:val="53591FD4"/>
    <w:rsid w:val="53764934"/>
    <w:rsid w:val="539354E6"/>
    <w:rsid w:val="53A92559"/>
    <w:rsid w:val="53AA4F24"/>
    <w:rsid w:val="53DD2C05"/>
    <w:rsid w:val="545729B8"/>
    <w:rsid w:val="547277F2"/>
    <w:rsid w:val="54B24092"/>
    <w:rsid w:val="550D3076"/>
    <w:rsid w:val="55242388"/>
    <w:rsid w:val="559D264C"/>
    <w:rsid w:val="55CA71B9"/>
    <w:rsid w:val="55EC5382"/>
    <w:rsid w:val="56051FA0"/>
    <w:rsid w:val="5632548A"/>
    <w:rsid w:val="564451BE"/>
    <w:rsid w:val="5650481F"/>
    <w:rsid w:val="567D5FDA"/>
    <w:rsid w:val="571132F2"/>
    <w:rsid w:val="574865E8"/>
    <w:rsid w:val="574D0215"/>
    <w:rsid w:val="575E5E0B"/>
    <w:rsid w:val="57AC301B"/>
    <w:rsid w:val="57AE5CAA"/>
    <w:rsid w:val="57F64296"/>
    <w:rsid w:val="57FF139C"/>
    <w:rsid w:val="580544D9"/>
    <w:rsid w:val="580B5F93"/>
    <w:rsid w:val="582C5F09"/>
    <w:rsid w:val="584C2108"/>
    <w:rsid w:val="585711D8"/>
    <w:rsid w:val="587F072F"/>
    <w:rsid w:val="588D4BFA"/>
    <w:rsid w:val="58913FBE"/>
    <w:rsid w:val="591150E3"/>
    <w:rsid w:val="59835FFD"/>
    <w:rsid w:val="59D800F7"/>
    <w:rsid w:val="5A7476F4"/>
    <w:rsid w:val="5AA75D1B"/>
    <w:rsid w:val="5AE12FDB"/>
    <w:rsid w:val="5B4B48F9"/>
    <w:rsid w:val="5B7C4AB2"/>
    <w:rsid w:val="5B8D4F11"/>
    <w:rsid w:val="5B8F0C89"/>
    <w:rsid w:val="5BCA3A6F"/>
    <w:rsid w:val="5BE11E9E"/>
    <w:rsid w:val="5C311D40"/>
    <w:rsid w:val="5C4750C0"/>
    <w:rsid w:val="5CB564CD"/>
    <w:rsid w:val="5CBA3AE4"/>
    <w:rsid w:val="5D6F0D72"/>
    <w:rsid w:val="5D720862"/>
    <w:rsid w:val="5DB9023F"/>
    <w:rsid w:val="5DE16341"/>
    <w:rsid w:val="5DEF4C0E"/>
    <w:rsid w:val="5E6C3504"/>
    <w:rsid w:val="5E8C14B0"/>
    <w:rsid w:val="5EC55FAC"/>
    <w:rsid w:val="5ED568DF"/>
    <w:rsid w:val="5F4E6765"/>
    <w:rsid w:val="5F530220"/>
    <w:rsid w:val="5F645F89"/>
    <w:rsid w:val="5F8D1984"/>
    <w:rsid w:val="6035022A"/>
    <w:rsid w:val="6042451C"/>
    <w:rsid w:val="607C7302"/>
    <w:rsid w:val="6088632C"/>
    <w:rsid w:val="60BB42CE"/>
    <w:rsid w:val="60F33A68"/>
    <w:rsid w:val="61096DE8"/>
    <w:rsid w:val="613C540F"/>
    <w:rsid w:val="61840B64"/>
    <w:rsid w:val="61C42213"/>
    <w:rsid w:val="61DA69D6"/>
    <w:rsid w:val="61E810F3"/>
    <w:rsid w:val="624B51DE"/>
    <w:rsid w:val="62650996"/>
    <w:rsid w:val="627628C4"/>
    <w:rsid w:val="628145B9"/>
    <w:rsid w:val="6287090C"/>
    <w:rsid w:val="62946B85"/>
    <w:rsid w:val="62B31701"/>
    <w:rsid w:val="62CF7BBD"/>
    <w:rsid w:val="63247F09"/>
    <w:rsid w:val="632E0D88"/>
    <w:rsid w:val="63347851"/>
    <w:rsid w:val="634E4F86"/>
    <w:rsid w:val="635D78BF"/>
    <w:rsid w:val="63AB4186"/>
    <w:rsid w:val="63B868A3"/>
    <w:rsid w:val="63F024E1"/>
    <w:rsid w:val="642B176B"/>
    <w:rsid w:val="64465551"/>
    <w:rsid w:val="64986E00"/>
    <w:rsid w:val="65115509"/>
    <w:rsid w:val="65580853"/>
    <w:rsid w:val="658A11AF"/>
    <w:rsid w:val="659D0447"/>
    <w:rsid w:val="65A6554D"/>
    <w:rsid w:val="65C438A0"/>
    <w:rsid w:val="660758C0"/>
    <w:rsid w:val="6618187B"/>
    <w:rsid w:val="66195D1F"/>
    <w:rsid w:val="66705BEF"/>
    <w:rsid w:val="668C4743"/>
    <w:rsid w:val="669E5544"/>
    <w:rsid w:val="66D6776C"/>
    <w:rsid w:val="66D87988"/>
    <w:rsid w:val="674A63AC"/>
    <w:rsid w:val="675D1C3B"/>
    <w:rsid w:val="675D7E8D"/>
    <w:rsid w:val="676C1E7F"/>
    <w:rsid w:val="6773320D"/>
    <w:rsid w:val="67D57A24"/>
    <w:rsid w:val="680B78E9"/>
    <w:rsid w:val="68183DB4"/>
    <w:rsid w:val="687F29AA"/>
    <w:rsid w:val="68AF296B"/>
    <w:rsid w:val="68C47A98"/>
    <w:rsid w:val="690C3919"/>
    <w:rsid w:val="690F51B7"/>
    <w:rsid w:val="692D388F"/>
    <w:rsid w:val="69F34AD9"/>
    <w:rsid w:val="6A2E5B11"/>
    <w:rsid w:val="6A3B0848"/>
    <w:rsid w:val="6A5F5CCB"/>
    <w:rsid w:val="6AAD4C88"/>
    <w:rsid w:val="6ACF10A2"/>
    <w:rsid w:val="6B0A20DA"/>
    <w:rsid w:val="6B2A30C5"/>
    <w:rsid w:val="6B826114"/>
    <w:rsid w:val="6C0C59DE"/>
    <w:rsid w:val="6C0D41AC"/>
    <w:rsid w:val="6C152AE5"/>
    <w:rsid w:val="6C1C0317"/>
    <w:rsid w:val="6C256AA0"/>
    <w:rsid w:val="6C292A34"/>
    <w:rsid w:val="6C661178"/>
    <w:rsid w:val="6CA420BB"/>
    <w:rsid w:val="6CDE381E"/>
    <w:rsid w:val="6CE60925"/>
    <w:rsid w:val="6D090170"/>
    <w:rsid w:val="6D543AE1"/>
    <w:rsid w:val="6D8A415C"/>
    <w:rsid w:val="6DA5433C"/>
    <w:rsid w:val="6E761513"/>
    <w:rsid w:val="6E794106"/>
    <w:rsid w:val="6EC522D6"/>
    <w:rsid w:val="6F0B01CF"/>
    <w:rsid w:val="6F320729"/>
    <w:rsid w:val="6F4D07E7"/>
    <w:rsid w:val="6F5C0A2B"/>
    <w:rsid w:val="6F8D32DA"/>
    <w:rsid w:val="6FBB39A3"/>
    <w:rsid w:val="7019546A"/>
    <w:rsid w:val="7064228D"/>
    <w:rsid w:val="70763D6E"/>
    <w:rsid w:val="70867A37"/>
    <w:rsid w:val="70E84C6C"/>
    <w:rsid w:val="713A123F"/>
    <w:rsid w:val="71683DB2"/>
    <w:rsid w:val="718A7AD1"/>
    <w:rsid w:val="71AA0173"/>
    <w:rsid w:val="71BA026E"/>
    <w:rsid w:val="71F47640"/>
    <w:rsid w:val="722A2656"/>
    <w:rsid w:val="72525412"/>
    <w:rsid w:val="72AE77EF"/>
    <w:rsid w:val="72DA6836"/>
    <w:rsid w:val="72DF3E4C"/>
    <w:rsid w:val="730B4C41"/>
    <w:rsid w:val="73634A7D"/>
    <w:rsid w:val="73644352"/>
    <w:rsid w:val="742329E9"/>
    <w:rsid w:val="742B089F"/>
    <w:rsid w:val="744A79EB"/>
    <w:rsid w:val="74776EA8"/>
    <w:rsid w:val="7499201B"/>
    <w:rsid w:val="74A4534E"/>
    <w:rsid w:val="74AB66DC"/>
    <w:rsid w:val="75061B64"/>
    <w:rsid w:val="7521699E"/>
    <w:rsid w:val="75525FF9"/>
    <w:rsid w:val="755553FC"/>
    <w:rsid w:val="757840E4"/>
    <w:rsid w:val="75B74C0D"/>
    <w:rsid w:val="75D7705D"/>
    <w:rsid w:val="75E63744"/>
    <w:rsid w:val="76582BBA"/>
    <w:rsid w:val="76724FD8"/>
    <w:rsid w:val="7673142C"/>
    <w:rsid w:val="768216BE"/>
    <w:rsid w:val="76966F18"/>
    <w:rsid w:val="76BE3E2C"/>
    <w:rsid w:val="76F8372F"/>
    <w:rsid w:val="77144F43"/>
    <w:rsid w:val="771B741D"/>
    <w:rsid w:val="773F135E"/>
    <w:rsid w:val="77974CF6"/>
    <w:rsid w:val="77A2369A"/>
    <w:rsid w:val="77C631AE"/>
    <w:rsid w:val="77DC095A"/>
    <w:rsid w:val="780D4FB8"/>
    <w:rsid w:val="78280044"/>
    <w:rsid w:val="78362761"/>
    <w:rsid w:val="783E33C3"/>
    <w:rsid w:val="78436C2C"/>
    <w:rsid w:val="78691F03"/>
    <w:rsid w:val="787C5A66"/>
    <w:rsid w:val="787F625F"/>
    <w:rsid w:val="78AF70BB"/>
    <w:rsid w:val="78BF0109"/>
    <w:rsid w:val="78FF6FF6"/>
    <w:rsid w:val="79206F6D"/>
    <w:rsid w:val="79507852"/>
    <w:rsid w:val="795B1D53"/>
    <w:rsid w:val="79C668CF"/>
    <w:rsid w:val="79C832F3"/>
    <w:rsid w:val="79E1128D"/>
    <w:rsid w:val="79E63D12"/>
    <w:rsid w:val="7A2D3390"/>
    <w:rsid w:val="7A340F22"/>
    <w:rsid w:val="7A3B22B0"/>
    <w:rsid w:val="7A5C7443"/>
    <w:rsid w:val="7A807CC3"/>
    <w:rsid w:val="7A9B2D4F"/>
    <w:rsid w:val="7AC2652D"/>
    <w:rsid w:val="7AC322A6"/>
    <w:rsid w:val="7ADE05C2"/>
    <w:rsid w:val="7AF91823"/>
    <w:rsid w:val="7B9003DA"/>
    <w:rsid w:val="7BBF2A6D"/>
    <w:rsid w:val="7BED75DA"/>
    <w:rsid w:val="7C093CE8"/>
    <w:rsid w:val="7C2428D0"/>
    <w:rsid w:val="7C921F30"/>
    <w:rsid w:val="7CB63E70"/>
    <w:rsid w:val="7D1140FE"/>
    <w:rsid w:val="7D2821E6"/>
    <w:rsid w:val="7D52346D"/>
    <w:rsid w:val="7D562F5D"/>
    <w:rsid w:val="7D5A0C9F"/>
    <w:rsid w:val="7D6E02A7"/>
    <w:rsid w:val="7D985324"/>
    <w:rsid w:val="7DDD56CB"/>
    <w:rsid w:val="7E484F9C"/>
    <w:rsid w:val="7E5567F8"/>
    <w:rsid w:val="7E8F4979"/>
    <w:rsid w:val="7E924469"/>
    <w:rsid w:val="7FCB2E50"/>
    <w:rsid w:val="7FE50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22"/>
    <w:rPr>
      <w:b/>
    </w:rPr>
  </w:style>
  <w:style w:type="paragraph" w:styleId="9">
    <w:name w:val="List Paragraph"/>
    <w:basedOn w:val="1"/>
    <w:qFormat/>
    <w:uiPriority w:val="99"/>
    <w:pPr>
      <w:ind w:firstLine="420" w:firstLineChars="200"/>
    </w:pPr>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14990</Words>
  <Characters>15145</Characters>
  <Lines>76</Lines>
  <Paragraphs>21</Paragraphs>
  <TotalTime>1</TotalTime>
  <ScaleCrop>false</ScaleCrop>
  <LinksUpToDate>false</LinksUpToDate>
  <CharactersWithSpaces>15192</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2024-05-10T07:33:00Z</dcterms:created>
  <dc:creator>陈智兮</dc:creator>
  <cp:lastModifiedBy>A</cp:lastModifiedBy>
  <dcterms:modified xsi:type="dcterms:W3CDTF">2025-12-19T09:16:04Z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6124D738CBD148088BEFCE3CCB46BF9D</vt:lpwstr>
  </property>
  <property fmtid="{D5CDD505-2E9C-101B-9397-08002B2CF9AE}" pid="4" name="KSOTemplateDocerSaveRecord">
    <vt:lpwstr>eyJoZGlkIjoiZDUxNmMxZjgzNDM0MDMyYmJjYjRiYzExNThlODQwNDUiLCJ1c2VySWQiOiI0MzMzNDI2MTgifQ==</vt:lpwstr>
  </property>
</Properties>
</file>