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val="0"/>
        <w:topLinePunct/>
        <w:autoSpaceDE/>
        <w:autoSpaceDN/>
        <w:bidi w:val="0"/>
        <w:spacing w:line="600" w:lineRule="exact"/>
        <w:textAlignment w:val="auto"/>
        <w:rPr>
          <w:rFonts w:hint="eastAsia" w:ascii="仿宋_GB2312" w:hAnsi="仿宋_GB2312" w:eastAsia="仿宋_GB2312" w:cs="仿宋_GB2312"/>
          <w:color w:val="auto"/>
          <w:sz w:val="32"/>
          <w:szCs w:val="32"/>
          <w:lang w:val="en-US" w:eastAsia="zh-CN"/>
        </w:rPr>
      </w:pPr>
    </w:p>
    <w:p>
      <w:pPr>
        <w:keepNext w:val="0"/>
        <w:keepLines w:val="0"/>
        <w:pageBreakBefore w:val="0"/>
        <w:tabs>
          <w:tab w:val="right" w:pos="8505"/>
        </w:tabs>
        <w:kinsoku/>
        <w:wordWrap/>
        <w:autoSpaceDE/>
        <w:autoSpaceDN/>
        <w:bidi w:val="0"/>
        <w:snapToGrid w:val="0"/>
        <w:spacing w:line="600" w:lineRule="exact"/>
        <w:jc w:val="center"/>
        <w:textAlignment w:val="auto"/>
        <w:rPr>
          <w:rFonts w:hint="eastAsia" w:ascii="方正大标宋简体" w:hAnsi="方正大标宋简体" w:eastAsia="方正大标宋简体" w:cs="方正大标宋简体"/>
          <w:b w:val="0"/>
          <w:bCs/>
          <w:color w:val="auto"/>
          <w:sz w:val="44"/>
          <w:szCs w:val="44"/>
        </w:rPr>
      </w:pPr>
      <w:r>
        <w:rPr>
          <w:rFonts w:hint="eastAsia" w:ascii="方正大标宋简体" w:hAnsi="方正大标宋简体" w:eastAsia="方正大标宋简体" w:cs="方正大标宋简体"/>
          <w:b w:val="0"/>
          <w:bCs/>
          <w:color w:val="auto"/>
          <w:sz w:val="44"/>
          <w:szCs w:val="44"/>
        </w:rPr>
        <w:t>姜堰农村商业银行</w:t>
      </w:r>
    </w:p>
    <w:p>
      <w:pPr>
        <w:keepNext w:val="0"/>
        <w:keepLines w:val="0"/>
        <w:pageBreakBefore w:val="0"/>
        <w:tabs>
          <w:tab w:val="right" w:pos="8505"/>
        </w:tabs>
        <w:kinsoku/>
        <w:wordWrap/>
        <w:autoSpaceDE/>
        <w:autoSpaceDN/>
        <w:bidi w:val="0"/>
        <w:snapToGrid w:val="0"/>
        <w:spacing w:line="600" w:lineRule="exact"/>
        <w:jc w:val="center"/>
        <w:textAlignment w:val="auto"/>
        <w:rPr>
          <w:rFonts w:hint="eastAsia" w:ascii="方正大标宋简体" w:hAnsi="方正大标宋简体" w:eastAsia="方正大标宋简体" w:cs="方正大标宋简体"/>
          <w:b w:val="0"/>
          <w:bCs/>
          <w:color w:val="auto"/>
          <w:sz w:val="44"/>
          <w:szCs w:val="44"/>
        </w:rPr>
      </w:pPr>
      <w:r>
        <w:rPr>
          <w:rFonts w:hint="eastAsia" w:ascii="方正大标宋简体" w:hAnsi="方正大标宋简体" w:eastAsia="方正大标宋简体" w:cs="方正大标宋简体"/>
          <w:b w:val="0"/>
          <w:bCs/>
          <w:color w:val="auto"/>
          <w:sz w:val="44"/>
          <w:szCs w:val="44"/>
        </w:rPr>
        <w:t>圆鼎借记卡章程（个人卡）</w:t>
      </w:r>
    </w:p>
    <w:p>
      <w:pPr>
        <w:keepNext w:val="0"/>
        <w:keepLines w:val="0"/>
        <w:pageBreakBefore w:val="0"/>
        <w:tabs>
          <w:tab w:val="right" w:pos="8505"/>
        </w:tabs>
        <w:kinsoku/>
        <w:wordWrap/>
        <w:autoSpaceDE/>
        <w:autoSpaceDN/>
        <w:bidi w:val="0"/>
        <w:snapToGrid w:val="0"/>
        <w:spacing w:line="600" w:lineRule="exact"/>
        <w:textAlignment w:val="auto"/>
        <w:rPr>
          <w:rFonts w:hint="eastAsia" w:ascii="方正大标宋简体" w:hAnsi="方正大标宋简体" w:eastAsia="方正大标宋简体" w:cs="方正大标宋简体"/>
          <w:b w:val="0"/>
          <w:bCs/>
          <w:color w:val="auto"/>
          <w:sz w:val="44"/>
          <w:szCs w:val="44"/>
        </w:rPr>
      </w:pPr>
    </w:p>
    <w:p>
      <w:pPr>
        <w:keepNext w:val="0"/>
        <w:keepLines w:val="0"/>
        <w:pageBreakBefore w:val="0"/>
        <w:kinsoku/>
        <w:wordWrap/>
        <w:overflowPunct w:val="0"/>
        <w:topLinePunct/>
        <w:autoSpaceDE/>
        <w:autoSpaceDN/>
        <w:bidi w:val="0"/>
        <w:spacing w:line="60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 xml:space="preserve">第一条  </w:t>
      </w:r>
      <w:r>
        <w:rPr>
          <w:rFonts w:hint="eastAsia" w:ascii="仿宋_GB2312" w:hAnsi="仿宋_GB2312" w:eastAsia="仿宋_GB2312" w:cs="仿宋_GB2312"/>
          <w:color w:val="auto"/>
          <w:sz w:val="32"/>
          <w:szCs w:val="32"/>
        </w:rPr>
        <w:t>为规范圆鼎借记卡的发行和使用，更好地为持卡人服务，依据《储蓄管理条例》和《银行卡业务管理办法》等有关法律法规，特制定本章程。</w:t>
      </w:r>
    </w:p>
    <w:p>
      <w:pPr>
        <w:keepNext w:val="0"/>
        <w:keepLines w:val="0"/>
        <w:pageBreakBefore w:val="0"/>
        <w:kinsoku/>
        <w:wordWrap/>
        <w:overflowPunct w:val="0"/>
        <w:topLinePunct/>
        <w:autoSpaceDE/>
        <w:autoSpaceDN/>
        <w:bidi w:val="0"/>
        <w:spacing w:line="60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 xml:space="preserve">第二条  </w:t>
      </w:r>
      <w:r>
        <w:rPr>
          <w:rFonts w:hint="eastAsia" w:ascii="仿宋_GB2312" w:hAnsi="仿宋_GB2312" w:eastAsia="仿宋_GB2312" w:cs="仿宋_GB2312"/>
          <w:color w:val="auto"/>
          <w:sz w:val="32"/>
          <w:szCs w:val="32"/>
        </w:rPr>
        <w:t>圆鼎借记卡是姜堰农村商业银行（以下简称“本行”）委托江苏省农村信用社联合社统一申请的借记卡品牌，本行是圆鼎借记卡发卡机构。圆鼎借记卡是具备存取现金、转账汇款、消费结算、账户查询、电子现金（脱机消费、圈存、圈提）等全部或部分功能的金融支付工具，先存款后使用，不具备透支功能。</w:t>
      </w:r>
    </w:p>
    <w:p>
      <w:pPr>
        <w:keepNext w:val="0"/>
        <w:keepLines w:val="0"/>
        <w:pageBreakBefore w:val="0"/>
        <w:kinsoku/>
        <w:wordWrap/>
        <w:overflowPunct w:val="0"/>
        <w:topLinePunct/>
        <w:autoSpaceDE/>
        <w:autoSpaceDN/>
        <w:bidi w:val="0"/>
        <w:spacing w:line="60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第三条</w:t>
      </w:r>
      <w:r>
        <w:rPr>
          <w:rFonts w:hint="eastAsia" w:ascii="仿宋_GB2312" w:hAnsi="仿宋_GB2312" w:eastAsia="仿宋_GB2312" w:cs="仿宋_GB2312"/>
          <w:color w:val="auto"/>
          <w:sz w:val="32"/>
          <w:szCs w:val="32"/>
        </w:rPr>
        <w:t xml:space="preserve">  本章程所指圆鼎借记卡均为个人卡。个人借记卡按发卡形式分为主卡和附属卡；按是否带芯片分为磁条卡、IC卡。其中IC卡分为纯芯片卡以及集芯片和磁条于一体的复合卡；IC卡按芯片的读取方式不同，分为接触式IC卡、非接触式IC卡、同时支持接触式和非接触式的双界面IC卡。</w:t>
      </w:r>
    </w:p>
    <w:p>
      <w:pPr>
        <w:keepNext w:val="0"/>
        <w:keepLines w:val="0"/>
        <w:pageBreakBefore w:val="0"/>
        <w:kinsoku/>
        <w:wordWrap/>
        <w:overflowPunct w:val="0"/>
        <w:topLinePunct/>
        <w:autoSpaceDE/>
        <w:autoSpaceDN/>
        <w:bidi w:val="0"/>
        <w:spacing w:line="60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 xml:space="preserve">第四条  </w:t>
      </w:r>
      <w:r>
        <w:rPr>
          <w:rFonts w:hint="eastAsia" w:ascii="仿宋_GB2312" w:hAnsi="仿宋_GB2312" w:eastAsia="仿宋_GB2312" w:cs="仿宋_GB2312"/>
          <w:color w:val="auto"/>
          <w:sz w:val="32"/>
          <w:szCs w:val="32"/>
        </w:rPr>
        <w:t>圆鼎借记卡为实名制卡，凡持有效身份证件（包括居民身份证、户口簿、外籍客户凭护照、居住证等）并承认和遵守本章程者均可向本行营业网点申领圆鼎借记卡，本行为发卡机构。申请人申领圆鼎借记卡须填写申请书，确认遵守本章程和本行相关规定，本行对申请人提交相关资料及信息负有保密责任。</w:t>
      </w:r>
    </w:p>
    <w:p>
      <w:pPr>
        <w:keepNext w:val="0"/>
        <w:keepLines w:val="0"/>
        <w:pageBreakBefore w:val="0"/>
        <w:kinsoku/>
        <w:wordWrap/>
        <w:overflowPunct w:val="0"/>
        <w:topLinePunct/>
        <w:autoSpaceDE/>
        <w:autoSpaceDN/>
        <w:bidi w:val="0"/>
        <w:spacing w:line="60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第五条</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color w:val="auto"/>
          <w:sz w:val="32"/>
          <w:szCs w:val="32"/>
        </w:rPr>
        <w:t>以批量或代理形式开出的借记卡以及根据发卡行规定须激活后使用的借记卡，须由持卡人持本人有效证件和卡片至本行营业网点柜台或通过本行认可的其他渠道激活卡片并设置交易密码，激活成功后方可正常使用，激活原则上不允许代理。无民事行为能力和限制民事行为能力的持卡人可由法定代理人、人民法院或有权部门依法指定的人员代理激活。</w:t>
      </w:r>
    </w:p>
    <w:p>
      <w:pPr>
        <w:keepNext w:val="0"/>
        <w:keepLines w:val="0"/>
        <w:pageBreakBefore w:val="0"/>
        <w:kinsoku/>
        <w:wordWrap/>
        <w:overflowPunct w:val="0"/>
        <w:topLinePunct/>
        <w:autoSpaceDE/>
        <w:autoSpaceDN/>
        <w:bidi w:val="0"/>
        <w:spacing w:line="60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w:t>
      </w:r>
      <w:r>
        <w:rPr>
          <w:rFonts w:hint="eastAsia" w:ascii="仿宋_GB2312" w:hAnsi="仿宋_GB2312" w:eastAsia="仿宋_GB2312" w:cs="仿宋_GB2312"/>
          <w:b/>
          <w:color w:val="auto"/>
          <w:sz w:val="32"/>
          <w:szCs w:val="32"/>
          <w:lang w:eastAsia="zh-CN"/>
        </w:rPr>
        <w:t>六</w:t>
      </w:r>
      <w:r>
        <w:rPr>
          <w:rFonts w:hint="eastAsia" w:ascii="仿宋_GB2312" w:hAnsi="仿宋_GB2312" w:eastAsia="仿宋_GB2312" w:cs="仿宋_GB2312"/>
          <w:b/>
          <w:color w:val="auto"/>
          <w:sz w:val="32"/>
          <w:szCs w:val="32"/>
        </w:rPr>
        <w:t xml:space="preserve">条  </w:t>
      </w:r>
      <w:r>
        <w:rPr>
          <w:rFonts w:hint="eastAsia" w:ascii="仿宋_GB2312" w:hAnsi="仿宋_GB2312" w:eastAsia="仿宋_GB2312" w:cs="仿宋_GB2312"/>
          <w:color w:val="auto"/>
          <w:sz w:val="32"/>
          <w:szCs w:val="32"/>
        </w:rPr>
        <w:t>圆鼎借记卡只限持卡人本人使用，不得出租或转借，凡因出租或转借造成的损失由持卡人承担。持卡人有关信息资料变更时，须及时、如实向本行提出书面变更申请，否则因信息资料变更不及时引发的全部损失由持卡人承担。对经设区市及以上公安机关认定的出租、出借、出售、购买银行卡的单位和个人及相关组织者，以及假冒他人身份或者虚构代理关系开立银行账户的单位和个人，本行可5年内暂停其账户非柜面业务，5年内不得为其新开立账户。</w:t>
      </w:r>
    </w:p>
    <w:p>
      <w:pPr>
        <w:keepNext w:val="0"/>
        <w:keepLines w:val="0"/>
        <w:pageBreakBefore w:val="0"/>
        <w:kinsoku/>
        <w:wordWrap/>
        <w:overflowPunct w:val="0"/>
        <w:topLinePunct/>
        <w:autoSpaceDE/>
        <w:autoSpaceDN/>
        <w:bidi w:val="0"/>
        <w:spacing w:line="60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w:t>
      </w:r>
      <w:r>
        <w:rPr>
          <w:rFonts w:hint="eastAsia" w:ascii="仿宋_GB2312" w:hAnsi="仿宋_GB2312" w:eastAsia="仿宋_GB2312" w:cs="仿宋_GB2312"/>
          <w:b/>
          <w:color w:val="auto"/>
          <w:sz w:val="32"/>
          <w:szCs w:val="32"/>
          <w:lang w:eastAsia="zh-CN"/>
        </w:rPr>
        <w:t>七</w:t>
      </w:r>
      <w:r>
        <w:rPr>
          <w:rFonts w:hint="eastAsia" w:ascii="仿宋_GB2312" w:hAnsi="仿宋_GB2312" w:eastAsia="仿宋_GB2312" w:cs="仿宋_GB2312"/>
          <w:b/>
          <w:color w:val="auto"/>
          <w:sz w:val="32"/>
          <w:szCs w:val="32"/>
        </w:rPr>
        <w:t xml:space="preserve">条  </w:t>
      </w:r>
      <w:r>
        <w:rPr>
          <w:rFonts w:hint="eastAsia" w:ascii="仿宋_GB2312" w:hAnsi="仿宋_GB2312" w:eastAsia="仿宋_GB2312" w:cs="仿宋_GB2312"/>
          <w:color w:val="auto"/>
          <w:sz w:val="32"/>
          <w:szCs w:val="32"/>
        </w:rPr>
        <w:t>持卡人可通过本行营业网点、境内外贴有“银联”标识的自助柜员机（ATM等现金类自助服务设备，下同）、电话银行、网上银行、手机银行、微信银行、境内外贴有“银联”标识的特约商户等渠道按照相关规定办理金融交易。</w:t>
      </w:r>
    </w:p>
    <w:p>
      <w:pPr>
        <w:keepNext w:val="0"/>
        <w:keepLines w:val="0"/>
        <w:pageBreakBefore w:val="0"/>
        <w:kinsoku/>
        <w:wordWrap/>
        <w:overflowPunct w:val="0"/>
        <w:topLinePunct/>
        <w:autoSpaceDE/>
        <w:autoSpaceDN/>
        <w:bidi w:val="0"/>
        <w:spacing w:line="60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w:t>
      </w:r>
      <w:r>
        <w:rPr>
          <w:rFonts w:hint="eastAsia" w:ascii="仿宋_GB2312" w:hAnsi="仿宋_GB2312" w:eastAsia="仿宋_GB2312" w:cs="仿宋_GB2312"/>
          <w:b/>
          <w:color w:val="auto"/>
          <w:sz w:val="32"/>
          <w:szCs w:val="32"/>
          <w:lang w:eastAsia="zh-CN"/>
        </w:rPr>
        <w:t>八</w:t>
      </w:r>
      <w:r>
        <w:rPr>
          <w:rFonts w:hint="eastAsia" w:ascii="仿宋_GB2312" w:hAnsi="仿宋_GB2312" w:eastAsia="仿宋_GB2312" w:cs="仿宋_GB2312"/>
          <w:b/>
          <w:color w:val="auto"/>
          <w:sz w:val="32"/>
          <w:szCs w:val="32"/>
        </w:rPr>
        <w:t xml:space="preserve">条 </w:t>
      </w:r>
      <w:r>
        <w:rPr>
          <w:rFonts w:hint="eastAsia" w:ascii="仿宋_GB2312" w:hAnsi="仿宋_GB2312" w:eastAsia="仿宋_GB2312" w:cs="仿宋_GB2312"/>
          <w:color w:val="auto"/>
          <w:sz w:val="32"/>
          <w:szCs w:val="32"/>
        </w:rPr>
        <w:t xml:space="preserve"> 持卡人可持IC卡办理电子现金业务。IC卡电子现金业务是指本行根据持卡人要求将现金或账户存款转至芯片内储存，交易时不校验密码直接从芯片内扣款的业务。IC卡电子现金视同现金管理，不计息，不挂失。</w:t>
      </w:r>
    </w:p>
    <w:p>
      <w:pPr>
        <w:keepNext w:val="0"/>
        <w:keepLines w:val="0"/>
        <w:pageBreakBefore w:val="0"/>
        <w:kinsoku/>
        <w:wordWrap/>
        <w:overflowPunct w:val="0"/>
        <w:topLinePunct/>
        <w:autoSpaceDE/>
        <w:autoSpaceDN/>
        <w:bidi w:val="0"/>
        <w:spacing w:line="600" w:lineRule="exact"/>
        <w:ind w:firstLine="643" w:firstLineChars="200"/>
        <w:textAlignment w:val="auto"/>
        <w:rPr>
          <w:rFonts w:hint="default" w:ascii="仿宋_GB2312" w:hAnsi="仿宋_GB2312" w:eastAsia="仿宋_GB2312" w:cs="仿宋_GB2312"/>
          <w:b/>
          <w:color w:val="auto"/>
          <w:sz w:val="32"/>
          <w:szCs w:val="32"/>
          <w:lang w:val="en-US" w:eastAsia="zh-CN"/>
        </w:rPr>
      </w:pPr>
      <w:r>
        <w:rPr>
          <w:rFonts w:hint="eastAsia" w:ascii="仿宋_GB2312" w:hAnsi="仿宋_GB2312" w:eastAsia="仿宋_GB2312" w:cs="仿宋_GB2312"/>
          <w:b/>
          <w:color w:val="auto"/>
          <w:sz w:val="32"/>
          <w:szCs w:val="32"/>
        </w:rPr>
        <w:t>第</w:t>
      </w:r>
      <w:r>
        <w:rPr>
          <w:rFonts w:hint="eastAsia" w:ascii="仿宋_GB2312" w:hAnsi="仿宋_GB2312" w:eastAsia="仿宋_GB2312" w:cs="仿宋_GB2312"/>
          <w:b/>
          <w:color w:val="auto"/>
          <w:sz w:val="32"/>
          <w:szCs w:val="32"/>
          <w:lang w:eastAsia="zh-CN"/>
        </w:rPr>
        <w:t>九</w:t>
      </w:r>
      <w:r>
        <w:rPr>
          <w:rFonts w:hint="eastAsia" w:ascii="仿宋_GB2312" w:hAnsi="仿宋_GB2312" w:eastAsia="仿宋_GB2312" w:cs="仿宋_GB2312"/>
          <w:b/>
          <w:color w:val="auto"/>
          <w:sz w:val="32"/>
          <w:szCs w:val="32"/>
        </w:rPr>
        <w:t xml:space="preserve">条  </w:t>
      </w:r>
      <w:r>
        <w:rPr>
          <w:rFonts w:hint="eastAsia" w:ascii="仿宋_GB2312" w:hAnsi="仿宋_GB2312" w:eastAsia="仿宋_GB2312" w:cs="仿宋_GB2312"/>
          <w:color w:val="auto"/>
          <w:sz w:val="32"/>
          <w:szCs w:val="32"/>
        </w:rPr>
        <w:t>持卡人应妥善保管圆鼎借记卡密码，防止泄漏。凡录入密码与系统密码相符的交易均视为持卡人或本人授权的合法交易，本行依据密码为持卡人办理交易所产生的电子信息记录为该项交易的有效凭证，</w:t>
      </w:r>
      <w:r>
        <w:rPr>
          <w:rFonts w:hint="eastAsia" w:ascii="仿宋_GB2312" w:hAnsi="仿宋_GB2312" w:eastAsia="仿宋_GB2312" w:cs="仿宋_GB2312"/>
          <w:color w:val="auto"/>
          <w:sz w:val="32"/>
          <w:szCs w:val="32"/>
          <w:lang w:val="en-US" w:eastAsia="zh-CN"/>
        </w:rPr>
        <w:t>本行对于依照密码进行的任何操作及其产生的结果不承担任何责任，</w:t>
      </w:r>
      <w:r>
        <w:rPr>
          <w:rFonts w:hint="eastAsia" w:ascii="仿宋_GB2312" w:hAnsi="仿宋_GB2312" w:eastAsia="仿宋_GB2312" w:cs="仿宋_GB2312"/>
          <w:color w:val="auto"/>
          <w:sz w:val="32"/>
          <w:szCs w:val="32"/>
        </w:rPr>
        <w:t>持卡人承担因不慎泄漏密码造成的损失。</w:t>
      </w:r>
    </w:p>
    <w:p>
      <w:pPr>
        <w:keepNext w:val="0"/>
        <w:keepLines w:val="0"/>
        <w:pageBreakBefore w:val="0"/>
        <w:kinsoku/>
        <w:wordWrap/>
        <w:overflowPunct w:val="0"/>
        <w:topLinePunct/>
        <w:autoSpaceDE/>
        <w:autoSpaceDN/>
        <w:bidi w:val="0"/>
        <w:spacing w:line="600" w:lineRule="exact"/>
        <w:ind w:firstLine="643"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bCs w:val="0"/>
          <w:color w:val="auto"/>
          <w:sz w:val="32"/>
          <w:szCs w:val="32"/>
        </w:rPr>
        <w:t xml:space="preserve">第十条 </w:t>
      </w:r>
      <w:r>
        <w:rPr>
          <w:rFonts w:hint="eastAsia" w:ascii="仿宋_GB2312" w:hAnsi="仿宋_GB2312" w:eastAsia="仿宋_GB2312" w:cs="仿宋_GB2312"/>
          <w:b/>
          <w:color w:val="auto"/>
          <w:sz w:val="32"/>
          <w:szCs w:val="32"/>
        </w:rPr>
        <w:t xml:space="preserve"> </w:t>
      </w:r>
      <w:r>
        <w:rPr>
          <w:rFonts w:hint="eastAsia" w:ascii="仿宋_GB2312" w:hAnsi="仿宋_GB2312" w:eastAsia="仿宋_GB2312" w:cs="仿宋_GB2312"/>
          <w:color w:val="auto"/>
          <w:sz w:val="32"/>
          <w:szCs w:val="32"/>
        </w:rPr>
        <w:t>为便于持卡人小额交易，带有闪付功能的IC卡具有小额免密功能。持卡人在特定商户进行一定限额内的交易时无需验证密码。小额免密功能的限额以发卡银行对外公布的限额为准并可经公告后调整。持卡人可通过江苏省各农村商业银行营业网点、电子银行等发卡银行认可的渠道开通或关闭小额免密功能。电子现金或小额免密交易不使用密码，凡使用电子现金或以免密方式进行的交易均视为持卡人本人所为，持卡人因卡片保管不善造成的损失，本行不承担责任。持卡人授权通过第三方平台（如银联在线、支付宝、京东、财付通、百付宝等）签约或签约后的交易及签约委托代扣等协议支付的，均视为持卡人本人授权的合法交易。</w:t>
      </w:r>
      <w:r>
        <w:rPr>
          <w:rFonts w:hint="eastAsia" w:ascii="仿宋_GB2312" w:hAnsi="仿宋_GB2312" w:eastAsia="仿宋_GB2312" w:cs="仿宋_GB2312"/>
          <w:color w:val="auto"/>
          <w:sz w:val="32"/>
          <w:szCs w:val="32"/>
          <w:lang w:val="en-US" w:eastAsia="zh-CN"/>
        </w:rPr>
        <w:t>本行对于依照该授权进行的任何操作及其产生的结果不承担任何责任。</w:t>
      </w:r>
    </w:p>
    <w:p>
      <w:pPr>
        <w:keepNext w:val="0"/>
        <w:keepLines w:val="0"/>
        <w:pageBreakBefore w:val="0"/>
        <w:kinsoku/>
        <w:wordWrap/>
        <w:overflowPunct w:val="0"/>
        <w:topLinePunct/>
        <w:autoSpaceDE/>
        <w:autoSpaceDN/>
        <w:bidi w:val="0"/>
        <w:spacing w:line="60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第十</w:t>
      </w:r>
      <w:r>
        <w:rPr>
          <w:rFonts w:hint="eastAsia" w:ascii="仿宋_GB2312" w:hAnsi="仿宋_GB2312" w:eastAsia="仿宋_GB2312" w:cs="仿宋_GB2312"/>
          <w:b/>
          <w:color w:val="auto"/>
          <w:sz w:val="32"/>
          <w:szCs w:val="32"/>
          <w:lang w:eastAsia="zh-CN"/>
        </w:rPr>
        <w:t>一</w:t>
      </w:r>
      <w:r>
        <w:rPr>
          <w:rFonts w:hint="eastAsia" w:ascii="仿宋_GB2312" w:hAnsi="仿宋_GB2312" w:eastAsia="仿宋_GB2312" w:cs="仿宋_GB2312"/>
          <w:b/>
          <w:color w:val="auto"/>
          <w:sz w:val="32"/>
          <w:szCs w:val="32"/>
        </w:rPr>
        <w:t xml:space="preserve">条 </w:t>
      </w:r>
      <w:r>
        <w:rPr>
          <w:rFonts w:hint="eastAsia" w:ascii="仿宋_GB2312" w:hAnsi="仿宋_GB2312" w:eastAsia="仿宋_GB2312" w:cs="仿宋_GB2312"/>
          <w:color w:val="auto"/>
          <w:sz w:val="32"/>
          <w:szCs w:val="32"/>
        </w:rPr>
        <w:t xml:space="preserve"> 持卡人如连续三次输入密码不正确，本行有权对借记卡实施账户锁定，并于次日自动解锁，若连续六次输入密码不正确，则持卡人须持本人有效身份证件到江苏省辖内各农村商业银行申请解锁。持卡人如遗忘密码，应及时持本人有效身份证件到本行辖内营业网点办理密码重置手续。</w:t>
      </w:r>
    </w:p>
    <w:p>
      <w:pPr>
        <w:keepNext w:val="0"/>
        <w:keepLines w:val="0"/>
        <w:pageBreakBefore w:val="0"/>
        <w:kinsoku/>
        <w:wordWrap/>
        <w:overflowPunct w:val="0"/>
        <w:topLinePunct/>
        <w:autoSpaceDE/>
        <w:autoSpaceDN/>
        <w:bidi w:val="0"/>
        <w:spacing w:line="60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第十</w:t>
      </w:r>
      <w:r>
        <w:rPr>
          <w:rFonts w:hint="eastAsia" w:ascii="仿宋_GB2312" w:hAnsi="仿宋_GB2312" w:eastAsia="仿宋_GB2312" w:cs="仿宋_GB2312"/>
          <w:b/>
          <w:color w:val="auto"/>
          <w:sz w:val="32"/>
          <w:szCs w:val="32"/>
          <w:lang w:eastAsia="zh-CN"/>
        </w:rPr>
        <w:t>二</w:t>
      </w:r>
      <w:r>
        <w:rPr>
          <w:rFonts w:hint="eastAsia" w:ascii="仿宋_GB2312" w:hAnsi="仿宋_GB2312" w:eastAsia="仿宋_GB2312" w:cs="仿宋_GB2312"/>
          <w:b/>
          <w:color w:val="auto"/>
          <w:sz w:val="32"/>
          <w:szCs w:val="32"/>
        </w:rPr>
        <w:t>条</w:t>
      </w:r>
      <w:r>
        <w:rPr>
          <w:rFonts w:hint="eastAsia" w:ascii="仿宋_GB2312" w:hAnsi="仿宋_GB2312" w:eastAsia="仿宋_GB2312" w:cs="仿宋_GB2312"/>
          <w:color w:val="auto"/>
          <w:sz w:val="32"/>
          <w:szCs w:val="32"/>
        </w:rPr>
        <w:t xml:space="preserve">  持卡人如不慎遗失圆鼎借记卡，应及时通过电话银行、手机银行或本行认可的渠道办理口头挂失或至本行辖内任意营业网点办理书面挂失。持卡人应在口头挂失后5日内补办书面挂失手续，否则口头挂失自动失效。挂失手续办妥后即时生效，持卡人可在书面挂失后至原挂失网点办理补发新卡或销卡手续，挂失补卡后，新卡电子现金账户余额为0元，原电子现金账户不作处理。挂失生效前或挂失失效后因遗失借记卡造成的损失，本行不承担责任。</w:t>
      </w:r>
    </w:p>
    <w:p>
      <w:pPr>
        <w:keepNext w:val="0"/>
        <w:keepLines w:val="0"/>
        <w:pageBreakBefore w:val="0"/>
        <w:kinsoku/>
        <w:wordWrap/>
        <w:overflowPunct w:val="0"/>
        <w:topLinePunct/>
        <w:autoSpaceDE/>
        <w:autoSpaceDN/>
        <w:bidi w:val="0"/>
        <w:spacing w:line="60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第十</w:t>
      </w:r>
      <w:r>
        <w:rPr>
          <w:rFonts w:hint="eastAsia" w:ascii="仿宋_GB2312" w:hAnsi="仿宋_GB2312" w:eastAsia="仿宋_GB2312" w:cs="仿宋_GB2312"/>
          <w:b/>
          <w:color w:val="auto"/>
          <w:sz w:val="32"/>
          <w:szCs w:val="32"/>
          <w:lang w:eastAsia="zh-CN"/>
        </w:rPr>
        <w:t>三</w:t>
      </w:r>
      <w:r>
        <w:rPr>
          <w:rFonts w:hint="eastAsia" w:ascii="仿宋_GB2312" w:hAnsi="仿宋_GB2312" w:eastAsia="仿宋_GB2312" w:cs="仿宋_GB2312"/>
          <w:b/>
          <w:color w:val="auto"/>
          <w:sz w:val="32"/>
          <w:szCs w:val="32"/>
        </w:rPr>
        <w:t xml:space="preserve">条  </w:t>
      </w:r>
      <w:r>
        <w:rPr>
          <w:rFonts w:hint="eastAsia" w:ascii="仿宋_GB2312" w:hAnsi="仿宋_GB2312" w:eastAsia="仿宋_GB2312" w:cs="仿宋_GB2312"/>
          <w:color w:val="auto"/>
          <w:sz w:val="32"/>
          <w:szCs w:val="32"/>
        </w:rPr>
        <w:t>为保障持卡人账户资金安全，本行在发现持卡人的圆鼎借记卡存在被他人冒用或涉嫌诈骗等风险时，有权暂时对该账户进行止付，后续根据实际情况进行相应处理。</w:t>
      </w:r>
    </w:p>
    <w:p>
      <w:pPr>
        <w:keepNext w:val="0"/>
        <w:keepLines w:val="0"/>
        <w:pageBreakBefore w:val="0"/>
        <w:kinsoku/>
        <w:wordWrap/>
        <w:overflowPunct w:val="0"/>
        <w:topLinePunct/>
        <w:autoSpaceDE/>
        <w:autoSpaceDN/>
        <w:bidi w:val="0"/>
        <w:spacing w:line="60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第十</w:t>
      </w:r>
      <w:r>
        <w:rPr>
          <w:rFonts w:hint="eastAsia" w:ascii="仿宋_GB2312" w:hAnsi="仿宋_GB2312" w:eastAsia="仿宋_GB2312" w:cs="仿宋_GB2312"/>
          <w:b/>
          <w:color w:val="auto"/>
          <w:sz w:val="32"/>
          <w:szCs w:val="32"/>
          <w:lang w:eastAsia="zh-CN"/>
        </w:rPr>
        <w:t>四</w:t>
      </w:r>
      <w:r>
        <w:rPr>
          <w:rFonts w:hint="eastAsia" w:ascii="仿宋_GB2312" w:hAnsi="仿宋_GB2312" w:eastAsia="仿宋_GB2312" w:cs="仿宋_GB2312"/>
          <w:b/>
          <w:color w:val="auto"/>
          <w:sz w:val="32"/>
          <w:szCs w:val="32"/>
        </w:rPr>
        <w:t>条</w:t>
      </w:r>
      <w:r>
        <w:rPr>
          <w:rFonts w:hint="eastAsia" w:ascii="仿宋_GB2312" w:hAnsi="仿宋_GB2312" w:eastAsia="仿宋_GB2312" w:cs="仿宋_GB2312"/>
          <w:color w:val="auto"/>
          <w:sz w:val="32"/>
          <w:szCs w:val="32"/>
        </w:rPr>
        <w:t xml:space="preserve">  若圆鼎借记卡非因本行指令被自助柜员机吞没的，持卡人应凭本人有效身份证件在20个工作日内到指定网点办理领回手续，逾期未领回而被吞卡机具所属网点作废卡处理的，持卡人自行负责。</w:t>
      </w:r>
    </w:p>
    <w:p>
      <w:pPr>
        <w:keepNext w:val="0"/>
        <w:keepLines w:val="0"/>
        <w:pageBreakBefore w:val="0"/>
        <w:kinsoku/>
        <w:wordWrap/>
        <w:overflowPunct w:val="0"/>
        <w:topLinePunct/>
        <w:autoSpaceDE/>
        <w:autoSpaceDN/>
        <w:bidi w:val="0"/>
        <w:spacing w:line="60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第十</w:t>
      </w:r>
      <w:r>
        <w:rPr>
          <w:rFonts w:hint="eastAsia" w:ascii="仿宋_GB2312" w:hAnsi="仿宋_GB2312" w:eastAsia="仿宋_GB2312" w:cs="仿宋_GB2312"/>
          <w:b/>
          <w:color w:val="auto"/>
          <w:sz w:val="32"/>
          <w:szCs w:val="32"/>
          <w:lang w:eastAsia="zh-CN"/>
        </w:rPr>
        <w:t>五</w:t>
      </w:r>
      <w:r>
        <w:rPr>
          <w:rFonts w:hint="eastAsia" w:ascii="仿宋_GB2312" w:hAnsi="仿宋_GB2312" w:eastAsia="仿宋_GB2312" w:cs="仿宋_GB2312"/>
          <w:b/>
          <w:color w:val="auto"/>
          <w:sz w:val="32"/>
          <w:szCs w:val="32"/>
        </w:rPr>
        <w:t xml:space="preserve">条 </w:t>
      </w:r>
      <w:r>
        <w:rPr>
          <w:rFonts w:hint="eastAsia" w:ascii="仿宋_GB2312" w:hAnsi="仿宋_GB2312" w:eastAsia="仿宋_GB2312" w:cs="仿宋_GB2312"/>
          <w:color w:val="auto"/>
          <w:sz w:val="32"/>
          <w:szCs w:val="32"/>
        </w:rPr>
        <w:t xml:space="preserve"> 磁条卡不设有效期，IC卡有效期不超过10年，具体以卡面印制有效期为准，借记卡到期自动失效，持卡人应在卡片到期前至本行申请换卡。卡片到期或卡片损坏须更换卡片时，持卡人应持卡片和本人有效身份证件到本行辖内任意网点申请换领新卡，并按规定缴纳工本费。IC卡换卡后新卡电子现金账户余额为0元，原卡电子现金账户可在30天后至发卡行辖内任意网点办理余额补登，补登至新卡。</w:t>
      </w:r>
      <w:r>
        <w:rPr>
          <w:rFonts w:hint="eastAsia" w:ascii="仿宋_GB2312" w:hAnsi="仿宋_GB2312" w:eastAsia="仿宋_GB2312" w:cs="仿宋_GB2312"/>
          <w:color w:val="auto"/>
          <w:sz w:val="32"/>
          <w:szCs w:val="32"/>
          <w:lang w:val="en-US" w:eastAsia="zh-CN"/>
        </w:rPr>
        <w:t>持卡人应及时换领新卡，否则因此而造成无法支付等由持卡人承担责任。</w:t>
      </w:r>
    </w:p>
    <w:p>
      <w:pPr>
        <w:keepNext w:val="0"/>
        <w:keepLines w:val="0"/>
        <w:pageBreakBefore w:val="0"/>
        <w:kinsoku/>
        <w:wordWrap/>
        <w:overflowPunct w:val="0"/>
        <w:topLinePunct/>
        <w:autoSpaceDE/>
        <w:autoSpaceDN/>
        <w:bidi w:val="0"/>
        <w:spacing w:line="60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第十</w:t>
      </w:r>
      <w:r>
        <w:rPr>
          <w:rFonts w:hint="eastAsia" w:ascii="仿宋_GB2312" w:hAnsi="仿宋_GB2312" w:eastAsia="仿宋_GB2312" w:cs="仿宋_GB2312"/>
          <w:b/>
          <w:color w:val="auto"/>
          <w:sz w:val="32"/>
          <w:szCs w:val="32"/>
          <w:lang w:eastAsia="zh-CN"/>
        </w:rPr>
        <w:t>六</w:t>
      </w:r>
      <w:r>
        <w:rPr>
          <w:rFonts w:hint="eastAsia" w:ascii="仿宋_GB2312" w:hAnsi="仿宋_GB2312" w:eastAsia="仿宋_GB2312" w:cs="仿宋_GB2312"/>
          <w:b/>
          <w:color w:val="auto"/>
          <w:sz w:val="32"/>
          <w:szCs w:val="32"/>
        </w:rPr>
        <w:t xml:space="preserve">条 </w:t>
      </w:r>
      <w:r>
        <w:rPr>
          <w:rFonts w:hint="eastAsia" w:ascii="仿宋_GB2312" w:hAnsi="仿宋_GB2312" w:eastAsia="仿宋_GB2312" w:cs="仿宋_GB2312"/>
          <w:color w:val="auto"/>
          <w:sz w:val="32"/>
          <w:szCs w:val="32"/>
        </w:rPr>
        <w:t xml:space="preserve"> 持卡人需注销圆鼎借记卡时，应持本人有效身份证件向本行辖内任意网点提出申请，结清余额，交回圆鼎借记卡。如由代理人销户时，应提供代理人及持卡人有效身份证办理。</w:t>
      </w:r>
    </w:p>
    <w:p>
      <w:pPr>
        <w:keepNext w:val="0"/>
        <w:keepLines w:val="0"/>
        <w:pageBreakBefore w:val="0"/>
        <w:kinsoku/>
        <w:wordWrap/>
        <w:overflowPunct w:val="0"/>
        <w:topLinePunct/>
        <w:autoSpaceDE/>
        <w:autoSpaceDN/>
        <w:bidi w:val="0"/>
        <w:spacing w:line="60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第十</w:t>
      </w:r>
      <w:r>
        <w:rPr>
          <w:rFonts w:hint="eastAsia" w:ascii="仿宋_GB2312" w:hAnsi="仿宋_GB2312" w:eastAsia="仿宋_GB2312" w:cs="仿宋_GB2312"/>
          <w:b/>
          <w:color w:val="auto"/>
          <w:sz w:val="32"/>
          <w:szCs w:val="32"/>
          <w:lang w:eastAsia="zh-CN"/>
        </w:rPr>
        <w:t>七</w:t>
      </w:r>
      <w:r>
        <w:rPr>
          <w:rFonts w:hint="eastAsia" w:ascii="仿宋_GB2312" w:hAnsi="仿宋_GB2312" w:eastAsia="仿宋_GB2312" w:cs="仿宋_GB2312"/>
          <w:b/>
          <w:color w:val="auto"/>
          <w:sz w:val="32"/>
          <w:szCs w:val="32"/>
        </w:rPr>
        <w:t xml:space="preserve">条 </w:t>
      </w:r>
      <w:r>
        <w:rPr>
          <w:rFonts w:hint="eastAsia" w:ascii="仿宋_GB2312" w:hAnsi="仿宋_GB2312" w:eastAsia="仿宋_GB2312" w:cs="仿宋_GB2312"/>
          <w:color w:val="auto"/>
          <w:sz w:val="32"/>
          <w:szCs w:val="32"/>
        </w:rPr>
        <w:t xml:space="preserve"> 本行根据国家相关法律、法规和规章制定圆鼎借记卡服务费项目和收费标准，收费项目和收费标准可通过营业网点等渠道查询。持卡人须按本行规定的收费项目、收费标准和缴费方式缴纳相关费用。借记卡收费项目、收费标准以本行公告为准。</w:t>
      </w:r>
    </w:p>
    <w:p>
      <w:pPr>
        <w:keepNext w:val="0"/>
        <w:keepLines w:val="0"/>
        <w:pageBreakBefore w:val="0"/>
        <w:kinsoku/>
        <w:wordWrap/>
        <w:overflowPunct w:val="0"/>
        <w:topLinePunct/>
        <w:autoSpaceDE/>
        <w:autoSpaceDN/>
        <w:bidi w:val="0"/>
        <w:spacing w:line="60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第十</w:t>
      </w:r>
      <w:r>
        <w:rPr>
          <w:rFonts w:hint="eastAsia" w:ascii="仿宋_GB2312" w:hAnsi="仿宋_GB2312" w:eastAsia="仿宋_GB2312" w:cs="仿宋_GB2312"/>
          <w:b/>
          <w:color w:val="auto"/>
          <w:sz w:val="32"/>
          <w:szCs w:val="32"/>
          <w:lang w:eastAsia="zh-CN"/>
        </w:rPr>
        <w:t>八</w:t>
      </w:r>
      <w:r>
        <w:rPr>
          <w:rFonts w:hint="eastAsia" w:ascii="仿宋_GB2312" w:hAnsi="仿宋_GB2312" w:eastAsia="仿宋_GB2312" w:cs="仿宋_GB2312"/>
          <w:b/>
          <w:color w:val="auto"/>
          <w:sz w:val="32"/>
          <w:szCs w:val="32"/>
        </w:rPr>
        <w:t>条</w:t>
      </w:r>
      <w:r>
        <w:rPr>
          <w:rFonts w:hint="eastAsia" w:ascii="仿宋_GB2312" w:hAnsi="仿宋_GB2312" w:eastAsia="仿宋_GB2312" w:cs="仿宋_GB2312"/>
          <w:color w:val="auto"/>
          <w:sz w:val="32"/>
          <w:szCs w:val="32"/>
        </w:rPr>
        <w:t xml:space="preserve">  持卡人办理业务时，如遇</w:t>
      </w:r>
      <w:r>
        <w:rPr>
          <w:rFonts w:hint="eastAsia" w:ascii="仿宋_GB2312" w:hAnsi="仿宋_GB2312" w:eastAsia="仿宋_GB2312" w:cs="仿宋_GB2312"/>
          <w:color w:val="auto"/>
          <w:sz w:val="32"/>
          <w:szCs w:val="32"/>
          <w:lang w:eastAsia="zh-CN"/>
        </w:rPr>
        <w:t>无故</w:t>
      </w:r>
      <w:r>
        <w:rPr>
          <w:rFonts w:hint="eastAsia" w:ascii="仿宋_GB2312" w:hAnsi="仿宋_GB2312" w:eastAsia="仿宋_GB2312" w:cs="仿宋_GB2312"/>
          <w:color w:val="auto"/>
          <w:sz w:val="32"/>
          <w:szCs w:val="32"/>
        </w:rPr>
        <w:t>拒绝受理，有权向本行及上级主管部门投诉。持卡人如对交易记录有疑问，有权向本行要求查询核对卡内账户余额、交易明细等信息，本行须根据行内记录保存情况为其提供该项服务。</w:t>
      </w:r>
    </w:p>
    <w:p>
      <w:pPr>
        <w:keepNext w:val="0"/>
        <w:keepLines w:val="0"/>
        <w:pageBreakBefore w:val="0"/>
        <w:kinsoku/>
        <w:wordWrap/>
        <w:overflowPunct w:val="0"/>
        <w:topLinePunct/>
        <w:autoSpaceDE/>
        <w:autoSpaceDN/>
        <w:bidi w:val="0"/>
        <w:spacing w:line="60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eastAsia="zh-CN"/>
        </w:rPr>
        <w:t>十九</w:t>
      </w:r>
      <w:r>
        <w:rPr>
          <w:rFonts w:hint="eastAsia" w:ascii="仿宋_GB2312" w:hAnsi="仿宋_GB2312" w:eastAsia="仿宋_GB2312" w:cs="仿宋_GB2312"/>
          <w:b/>
          <w:bCs/>
          <w:color w:val="auto"/>
          <w:sz w:val="32"/>
          <w:szCs w:val="32"/>
        </w:rPr>
        <w:t>条</w:t>
      </w:r>
      <w:r>
        <w:rPr>
          <w:rFonts w:hint="eastAsia" w:ascii="仿宋_GB2312" w:hAnsi="仿宋_GB2312" w:eastAsia="仿宋_GB2312" w:cs="仿宋_GB2312"/>
          <w:color w:val="auto"/>
          <w:sz w:val="32"/>
          <w:szCs w:val="32"/>
        </w:rPr>
        <w:t xml:space="preserve">  本行因其他原因停止持卡人使用借记卡，应通过电话、短信以及在营业网点或网站以公告方式提前通知持卡人。对于在交易过程中，因暂时的网络通讯故障或其他原因造成的错账现象，银行将根据实际交易情况进行账务处理，以保障持卡人及银行双方的权益均不受损失。</w:t>
      </w:r>
    </w:p>
    <w:p>
      <w:pPr>
        <w:keepNext w:val="0"/>
        <w:keepLines w:val="0"/>
        <w:pageBreakBefore w:val="0"/>
        <w:kinsoku/>
        <w:wordWrap/>
        <w:overflowPunct w:val="0"/>
        <w:topLinePunct/>
        <w:autoSpaceDE/>
        <w:autoSpaceDN/>
        <w:bidi w:val="0"/>
        <w:spacing w:line="60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 xml:space="preserve">第二十条 </w:t>
      </w:r>
      <w:r>
        <w:rPr>
          <w:rFonts w:hint="eastAsia" w:ascii="仿宋_GB2312" w:hAnsi="仿宋_GB2312" w:eastAsia="仿宋_GB2312" w:cs="仿宋_GB2312"/>
          <w:color w:val="auto"/>
          <w:sz w:val="32"/>
          <w:szCs w:val="32"/>
        </w:rPr>
        <w:t xml:space="preserve"> 虚假挂失，伪造、变造圆鼎借记卡，使用伪造或作废的圆鼎借记卡及冒用他人圆鼎借记卡进行诈骗财物的，本行有权申请法律保护并依法追究有关当事人的经济责任和法律责任。</w:t>
      </w:r>
    </w:p>
    <w:p>
      <w:pPr>
        <w:keepNext w:val="0"/>
        <w:keepLines w:val="0"/>
        <w:pageBreakBefore w:val="0"/>
        <w:kinsoku/>
        <w:wordWrap/>
        <w:overflowPunct w:val="0"/>
        <w:topLinePunct/>
        <w:autoSpaceDE/>
        <w:autoSpaceDN/>
        <w:bidi w:val="0"/>
        <w:spacing w:line="60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第二十</w:t>
      </w:r>
      <w:r>
        <w:rPr>
          <w:rFonts w:hint="eastAsia" w:ascii="仿宋_GB2312" w:hAnsi="仿宋_GB2312" w:eastAsia="仿宋_GB2312" w:cs="仿宋_GB2312"/>
          <w:b/>
          <w:color w:val="auto"/>
          <w:sz w:val="32"/>
          <w:szCs w:val="32"/>
          <w:lang w:eastAsia="zh-CN"/>
        </w:rPr>
        <w:t>一</w:t>
      </w:r>
      <w:r>
        <w:rPr>
          <w:rFonts w:hint="eastAsia" w:ascii="仿宋_GB2312" w:hAnsi="仿宋_GB2312" w:eastAsia="仿宋_GB2312" w:cs="仿宋_GB2312"/>
          <w:b/>
          <w:color w:val="auto"/>
          <w:sz w:val="32"/>
          <w:szCs w:val="32"/>
        </w:rPr>
        <w:t>条</w:t>
      </w:r>
      <w:r>
        <w:rPr>
          <w:rFonts w:hint="eastAsia" w:ascii="仿宋_GB2312" w:hAnsi="仿宋_GB2312" w:eastAsia="仿宋_GB2312" w:cs="仿宋_GB2312"/>
          <w:color w:val="auto"/>
          <w:sz w:val="32"/>
          <w:szCs w:val="32"/>
        </w:rPr>
        <w:t xml:space="preserve">  本行有权依照法律规定协助国家司法机关或其他有权机关对持卡人的圆鼎借记卡账户进行查询、冻结和扣划。</w:t>
      </w:r>
    </w:p>
    <w:p>
      <w:pPr>
        <w:keepNext w:val="0"/>
        <w:keepLines w:val="0"/>
        <w:pageBreakBefore w:val="0"/>
        <w:kinsoku/>
        <w:wordWrap/>
        <w:overflowPunct w:val="0"/>
        <w:topLinePunct/>
        <w:autoSpaceDE/>
        <w:autoSpaceDN/>
        <w:bidi w:val="0"/>
        <w:spacing w:line="60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lang w:eastAsia="zh-CN"/>
        </w:rPr>
        <w:t>第二</w:t>
      </w:r>
      <w:r>
        <w:rPr>
          <w:rFonts w:hint="eastAsia" w:ascii="仿宋_GB2312" w:hAnsi="仿宋_GB2312" w:eastAsia="仿宋_GB2312" w:cs="仿宋_GB2312"/>
          <w:b/>
          <w:color w:val="auto"/>
          <w:sz w:val="32"/>
          <w:szCs w:val="32"/>
        </w:rPr>
        <w:t>十</w:t>
      </w:r>
      <w:r>
        <w:rPr>
          <w:rFonts w:hint="eastAsia" w:ascii="仿宋_GB2312" w:hAnsi="仿宋_GB2312" w:eastAsia="仿宋_GB2312" w:cs="仿宋_GB2312"/>
          <w:b/>
          <w:color w:val="auto"/>
          <w:sz w:val="32"/>
          <w:szCs w:val="32"/>
          <w:lang w:eastAsia="zh-CN"/>
        </w:rPr>
        <w:t>二</w:t>
      </w:r>
      <w:r>
        <w:rPr>
          <w:rFonts w:hint="eastAsia" w:ascii="仿宋_GB2312" w:hAnsi="仿宋_GB2312" w:eastAsia="仿宋_GB2312" w:cs="仿宋_GB2312"/>
          <w:b/>
          <w:color w:val="auto"/>
          <w:sz w:val="32"/>
          <w:szCs w:val="32"/>
        </w:rPr>
        <w:t>条</w:t>
      </w:r>
      <w:r>
        <w:rPr>
          <w:rFonts w:hint="eastAsia" w:ascii="仿宋_GB2312" w:hAnsi="仿宋_GB2312" w:eastAsia="仿宋_GB2312" w:cs="仿宋_GB2312"/>
          <w:color w:val="auto"/>
          <w:sz w:val="32"/>
          <w:szCs w:val="32"/>
        </w:rPr>
        <w:t> 申请人/持卡人应向发卡银行提供真实、准确、完整、合法、有效的资料。如有变更应及时修改。因未及时变更信息导致的结果由持卡人本人承担。对于留存的身份证件或者身份证明文件已过有效期，未在合理期限内更新且没有提出合理理由的，发卡银行有权中止为持卡人办理业务，直至持卡人提供有效的身份证件或者身份证明文件为止。</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  </w:t>
      </w:r>
      <w:r>
        <w:rPr>
          <w:rFonts w:hint="eastAsia" w:ascii="仿宋_GB2312" w:hAnsi="仿宋_GB2312" w:eastAsia="仿宋_GB2312" w:cs="仿宋_GB2312"/>
          <w:b/>
          <w:color w:val="auto"/>
          <w:sz w:val="32"/>
          <w:szCs w:val="32"/>
        </w:rPr>
        <w:t>第二十</w:t>
      </w:r>
      <w:r>
        <w:rPr>
          <w:rFonts w:hint="eastAsia" w:ascii="仿宋_GB2312" w:hAnsi="仿宋_GB2312" w:eastAsia="仿宋_GB2312" w:cs="仿宋_GB2312"/>
          <w:b/>
          <w:color w:val="auto"/>
          <w:sz w:val="32"/>
          <w:szCs w:val="32"/>
          <w:lang w:eastAsia="zh-CN"/>
        </w:rPr>
        <w:t>三</w:t>
      </w:r>
      <w:r>
        <w:rPr>
          <w:rFonts w:hint="eastAsia" w:ascii="仿宋_GB2312" w:hAnsi="仿宋_GB2312" w:eastAsia="仿宋_GB2312" w:cs="仿宋_GB2312"/>
          <w:b/>
          <w:color w:val="auto"/>
          <w:sz w:val="32"/>
          <w:szCs w:val="32"/>
        </w:rPr>
        <w:t>条</w:t>
      </w:r>
      <w:r>
        <w:rPr>
          <w:rFonts w:hint="eastAsia" w:ascii="仿宋_GB2312" w:hAnsi="仿宋_GB2312" w:eastAsia="仿宋_GB2312" w:cs="仿宋_GB2312"/>
          <w:color w:val="auto"/>
          <w:sz w:val="32"/>
          <w:szCs w:val="32"/>
        </w:rPr>
        <w:t> 为满足发卡银行向持卡人提供借记卡相关服务的需要，持卡人授权同意发卡银行在依法合规的前提下，自行或通过有关单位或个人查询、收集、留存并使用本人的授权信息，并根据最小必要原则将上述获得的个人信息提供至有关单位或个人。发卡银行承诺仅为处理借记卡项下事务及履行法定义务之目的向相关单位或个人获取或提供申请人、持卡人信息，并要求相关单位或个人承担相应的保密义务。</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  本人授权信息包括但不限于本人姓名、性别、面部/指纹/声纹等生物特征、证件号码及证件有效期、联系地址、电话号码、电子邮件地址、借记卡卡号、已上传照片等。</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  本人授权的用途包括业务申请、身份识别、尽职调查、审查审批、业务办理、制卡邮寄、风险监测与管理、客户服务与回访、增值服务、异议核查和数据研究分析等业务需要。</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  </w:t>
      </w:r>
      <w:r>
        <w:rPr>
          <w:rFonts w:hint="eastAsia" w:ascii="仿宋_GB2312" w:hAnsi="仿宋_GB2312" w:eastAsia="仿宋_GB2312" w:cs="仿宋_GB2312"/>
          <w:b/>
          <w:color w:val="auto"/>
          <w:sz w:val="32"/>
          <w:szCs w:val="32"/>
        </w:rPr>
        <w:t>第二十</w:t>
      </w:r>
      <w:r>
        <w:rPr>
          <w:rFonts w:hint="eastAsia" w:ascii="仿宋_GB2312" w:hAnsi="仿宋_GB2312" w:eastAsia="仿宋_GB2312" w:cs="仿宋_GB2312"/>
          <w:b/>
          <w:color w:val="auto"/>
          <w:sz w:val="32"/>
          <w:szCs w:val="32"/>
          <w:lang w:eastAsia="zh-CN"/>
        </w:rPr>
        <w:t>四</w:t>
      </w:r>
      <w:r>
        <w:rPr>
          <w:rFonts w:hint="eastAsia" w:ascii="仿宋_GB2312" w:hAnsi="仿宋_GB2312" w:eastAsia="仿宋_GB2312" w:cs="仿宋_GB2312"/>
          <w:b/>
          <w:color w:val="auto"/>
          <w:sz w:val="32"/>
          <w:szCs w:val="32"/>
        </w:rPr>
        <w:t>条</w:t>
      </w:r>
      <w:r>
        <w:rPr>
          <w:rFonts w:hint="eastAsia" w:ascii="仿宋_GB2312" w:hAnsi="仿宋_GB2312" w:eastAsia="仿宋_GB2312" w:cs="仿宋_GB2312"/>
          <w:color w:val="auto"/>
          <w:sz w:val="32"/>
          <w:szCs w:val="32"/>
        </w:rPr>
        <w:t> 持卡人同意发卡银行可将其金融信息用于营销、用户体验改进或者市场调查等用途，发卡银行可通过电话、短信、5G消息、智能服务、客户端、电子邮件、微信或其他即时通讯工具等方式向其发送产品和服务、营销、用户体验改进或者市场调查等相关信息。</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  持卡人如不同意上述授权，可拨打4008</w:t>
      </w:r>
      <w:r>
        <w:rPr>
          <w:rFonts w:hint="eastAsia" w:ascii="仿宋_GB2312" w:hAnsi="仿宋_GB2312" w:eastAsia="仿宋_GB2312" w:cs="仿宋_GB2312"/>
          <w:color w:val="auto"/>
          <w:sz w:val="32"/>
          <w:szCs w:val="32"/>
          <w:lang w:val="en-US" w:eastAsia="zh-CN"/>
        </w:rPr>
        <w:t>296008</w:t>
      </w:r>
      <w:r>
        <w:rPr>
          <w:rFonts w:hint="eastAsia" w:ascii="仿宋_GB2312" w:hAnsi="仿宋_GB2312" w:eastAsia="仿宋_GB2312" w:cs="仿宋_GB2312"/>
          <w:color w:val="auto"/>
          <w:sz w:val="32"/>
          <w:szCs w:val="32"/>
        </w:rPr>
        <w:t>客户服务热线。</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  无论持卡人是否同意上述授权，发卡银行将继续提供优质服务，并不会影响向持卡人发送风险提示、服务状态通知、业务办理进度、还款提示等提醒信息。</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  持卡人同意授权后，如需更改授权，可拨打4008</w:t>
      </w:r>
      <w:r>
        <w:rPr>
          <w:rFonts w:hint="eastAsia" w:ascii="仿宋_GB2312" w:hAnsi="仿宋_GB2312" w:eastAsia="仿宋_GB2312" w:cs="仿宋_GB2312"/>
          <w:color w:val="auto"/>
          <w:sz w:val="32"/>
          <w:szCs w:val="32"/>
          <w:lang w:val="en-US" w:eastAsia="zh-CN"/>
        </w:rPr>
        <w:t>296008</w:t>
      </w:r>
      <w:r>
        <w:rPr>
          <w:rFonts w:hint="eastAsia" w:ascii="仿宋_GB2312" w:hAnsi="仿宋_GB2312" w:eastAsia="仿宋_GB2312" w:cs="仿宋_GB2312"/>
          <w:color w:val="auto"/>
          <w:sz w:val="32"/>
          <w:szCs w:val="32"/>
        </w:rPr>
        <w:t>客户服务热线或通过发卡银行指定的其他方式进行调整或退订。</w:t>
      </w:r>
    </w:p>
    <w:p>
      <w:pPr>
        <w:keepNext w:val="0"/>
        <w:keepLines w:val="0"/>
        <w:pageBreakBefore w:val="0"/>
        <w:kinsoku/>
        <w:wordWrap/>
        <w:overflowPunct w:val="0"/>
        <w:topLinePunct/>
        <w:autoSpaceDE/>
        <w:autoSpaceDN/>
        <w:bidi w:val="0"/>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五</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本章程未尽事宜，按《银行卡业务管理办法》、本行和主管部门制定的业务规章办理。本行与持卡人发生争议时，按中华人民共和国有关法律和金融法规予以解决。</w:t>
      </w:r>
    </w:p>
    <w:p>
      <w:pPr>
        <w:keepNext w:val="0"/>
        <w:keepLines w:val="0"/>
        <w:pageBreakBefore w:val="0"/>
        <w:kinsoku/>
        <w:wordWrap/>
        <w:overflowPunct w:val="0"/>
        <w:topLinePunct/>
        <w:autoSpaceDE/>
        <w:autoSpaceDN/>
        <w:bidi w:val="0"/>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六条</w:t>
      </w:r>
      <w:r>
        <w:rPr>
          <w:rFonts w:hint="eastAsia" w:ascii="仿宋_GB2312" w:hAnsi="仿宋_GB2312" w:eastAsia="仿宋_GB2312" w:cs="仿宋_GB2312"/>
          <w:sz w:val="32"/>
          <w:szCs w:val="32"/>
        </w:rPr>
        <w:t xml:space="preserve">  本章程由本行统一制定、修改和解释。本行可在本章程范围内，根据业务发展需要对本章程进行修订，并公告。公告期为30个工作日，公告期满后，修改后的章程生效。在公告期内，持卡人可以选择是否继续使用圆鼎借记卡，持卡人因对章程的修改有异议而决定不继续使用圆鼎借记卡的，可向本行提出申请变更或终止相关服务或销卡申请，否则视为同意接受章程的各项内容。本行以合法方式（包括但不限于营业网点或网站公告）发布的、在持卡人用卡期间持续有效的公告（包括领取借记卡之前和之后发布的），均同样适用于持卡人。如公告与本章程不一致的，以发布在后的为准。</w:t>
      </w:r>
    </w:p>
    <w:p>
      <w:pPr>
        <w:keepNext w:val="0"/>
        <w:keepLines w:val="0"/>
        <w:pageBreakBefore w:val="0"/>
        <w:kinsoku/>
        <w:wordWrap/>
        <w:overflowPunct w:val="0"/>
        <w:topLinePunct/>
        <w:autoSpaceDE/>
        <w:autoSpaceDN/>
        <w:bidi w:val="0"/>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本章程自公告中载明的生效日期开始生效。原《姜堰农村商业银行圆鼎借记卡章程（个人卡）》（姜农商行〔20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143</w:t>
      </w:r>
      <w:r>
        <w:rPr>
          <w:rFonts w:hint="eastAsia" w:ascii="仿宋_GB2312" w:hAnsi="仿宋_GB2312" w:eastAsia="仿宋_GB2312" w:cs="仿宋_GB2312"/>
          <w:sz w:val="32"/>
          <w:szCs w:val="32"/>
        </w:rPr>
        <w:t>号）同时废止。</w:t>
      </w:r>
    </w:p>
    <w:p>
      <w:bookmarkStart w:id="0" w:name="_GoBack"/>
      <w:bookmarkEnd w:id="0"/>
    </w:p>
    <w:sectPr>
      <w:footerReference r:id="rId3" w:type="default"/>
      <w:pgSz w:w="11906" w:h="16838"/>
      <w:pgMar w:top="2098" w:right="1531" w:bottom="1701" w:left="1531" w:header="1191" w:footer="1361"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大标宋简体">
    <w:altName w:val="Arial Unicode MS"/>
    <w:panose1 w:val="02010601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Arial Unicode MS"/>
    <w:panose1 w:val="03000502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default" w:ascii="Times New Roman" w:hAnsi="Times New Roman" w:cs="Times New Roman"/>
                              <w:sz w:val="22"/>
                              <w:szCs w:val="22"/>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  \* MERGEFORMAT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1</w:t>
                          </w:r>
                          <w:r>
                            <w:rPr>
                              <w:rFonts w:hint="default" w:ascii="Times New Roman" w:hAnsi="Times New Roman" w:cs="Times New Roman"/>
                              <w:sz w:val="22"/>
                              <w:szCs w:val="2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default" w:ascii="Times New Roman" w:hAnsi="Times New Roman" w:cs="Times New Roman"/>
                        <w:sz w:val="22"/>
                        <w:szCs w:val="22"/>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PAGE  \* MERGEFORMAT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1</w:t>
                    </w:r>
                    <w:r>
                      <w:rPr>
                        <w:rFonts w:hint="default" w:ascii="Times New Roman" w:hAnsi="Times New Roman" w:cs="Times New Roman"/>
                        <w:sz w:val="22"/>
                        <w:szCs w:val="22"/>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C95EA7"/>
    <w:rsid w:val="17950CAC"/>
    <w:rsid w:val="2FFE611E"/>
    <w:rsid w:val="33E238D2"/>
    <w:rsid w:val="47005B92"/>
    <w:rsid w:val="47FDE83A"/>
    <w:rsid w:val="5EF90A1F"/>
    <w:rsid w:val="64AE49E6"/>
    <w:rsid w:val="7FBF0E99"/>
  </w:rsids>
  <m:mathPr>
    <m:lMargin m:val="0"/>
    <m:rMargin m:val="0"/>
    <m:wrapIndent m:val="1440"/>
    <m:brkBin m:val="before"/>
    <m:brkBinSub m:val="--"/>
    <m:defJc m:val="centerGroup"/>
    <m:intLim m:val="subSup"/>
    <m:naryLim m:val="undOvr"/>
    <m:smallFrac m:val="0"/>
    <m:dispDef/>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Title"/>
    <w:basedOn w:val="1"/>
    <w:next w:val="3"/>
    <w:qFormat/>
    <w:uiPriority w:val="0"/>
    <w:pPr>
      <w:spacing w:before="240" w:after="60"/>
      <w:jc w:val="center"/>
      <w:outlineLvl w:val="0"/>
    </w:pPr>
    <w:rPr>
      <w:rFonts w:ascii="Cambria" w:hAnsi="Cambria" w:cs="Calibri"/>
      <w:b/>
      <w:bCs/>
      <w:sz w:val="32"/>
      <w:szCs w:val="32"/>
    </w:rPr>
  </w:style>
  <w:style w:type="paragraph" w:customStyle="1" w:styleId="3">
    <w:name w:val="正文文本缩进1"/>
    <w:basedOn w:val="1"/>
    <w:qFormat/>
    <w:uiPriority w:val="0"/>
    <w:pPr>
      <w:spacing w:after="120"/>
      <w:ind w:left="420" w:leftChars="200"/>
    </w:pPr>
    <w:rPr>
      <w:rFonts w:ascii="Calibri" w:hAnsi="Calibri" w:cs="黑体"/>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p0"/>
    <w:basedOn w:val="1"/>
    <w:qFormat/>
    <w:uiPriority w:val="0"/>
    <w:pPr>
      <w:widowControl/>
    </w:pPr>
    <w:rPr>
      <w:rFonts w:cs="宋体"/>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NSH20180420</dc:creator>
  <cp:lastModifiedBy>孔洁颖</cp:lastModifiedBy>
  <dcterms:modified xsi:type="dcterms:W3CDTF">2024-05-20T08:58:29Z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y fmtid="{D5CDD505-2E9C-101B-9397-08002B2CF9AE}" pid="3" name="ICV">
    <vt:lpwstr>B2A0F14038954B80B337D993C510A279</vt:lpwstr>
  </property>
</Properties>
</file>